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8AF27" w14:textId="77777777" w:rsidR="00376BA1" w:rsidRPr="0061241E" w:rsidRDefault="00376BA1" w:rsidP="00BD08A3">
      <w:pPr>
        <w:jc w:val="center"/>
        <w:rPr>
          <w:b/>
          <w:bCs/>
        </w:rPr>
      </w:pPr>
      <w:r w:rsidRPr="0061241E">
        <w:rPr>
          <w:b/>
          <w:bCs/>
        </w:rPr>
        <w:t>STATE OF GEORGIA</w:t>
      </w:r>
    </w:p>
    <w:p w14:paraId="3A14435C" w14:textId="77777777" w:rsidR="00376BA1" w:rsidRPr="0061241E" w:rsidRDefault="00376BA1" w:rsidP="00BD08A3">
      <w:pPr>
        <w:jc w:val="center"/>
        <w:rPr>
          <w:b/>
          <w:bCs/>
        </w:rPr>
      </w:pPr>
    </w:p>
    <w:p w14:paraId="3668F23F" w14:textId="77777777" w:rsidR="00376BA1" w:rsidRPr="0061241E" w:rsidRDefault="00376BA1" w:rsidP="00BD08A3">
      <w:pPr>
        <w:jc w:val="center"/>
        <w:rPr>
          <w:b/>
          <w:bCs/>
        </w:rPr>
      </w:pPr>
      <w:r w:rsidRPr="0061241E">
        <w:rPr>
          <w:b/>
          <w:bCs/>
        </w:rPr>
        <w:t>BEFORE THE PUBLIC SERVICE COMMISSION</w:t>
      </w:r>
    </w:p>
    <w:p w14:paraId="73221BD9" w14:textId="77777777" w:rsidR="00376BA1" w:rsidRPr="0061241E" w:rsidRDefault="00376BA1" w:rsidP="00BD08A3">
      <w:pPr>
        <w:jc w:val="center"/>
      </w:pPr>
    </w:p>
    <w:p w14:paraId="7E93402D" w14:textId="77777777" w:rsidR="00376BA1" w:rsidRPr="0061241E" w:rsidRDefault="00376BA1" w:rsidP="00BD08A3">
      <w:pPr>
        <w:jc w:val="center"/>
      </w:pPr>
    </w:p>
    <w:p w14:paraId="7211F15C" w14:textId="77777777" w:rsidR="00376BA1" w:rsidRPr="0061241E" w:rsidRDefault="00376BA1" w:rsidP="00BD08A3">
      <w:r w:rsidRPr="0061241E">
        <w:t>CITY OF CARTERSVILLE,</w:t>
      </w:r>
      <w:r w:rsidRPr="0061241E">
        <w:tab/>
      </w:r>
      <w:r w:rsidRPr="0061241E">
        <w:tab/>
      </w:r>
      <w:r w:rsidRPr="0061241E">
        <w:tab/>
      </w:r>
      <w:r w:rsidRPr="0061241E">
        <w:tab/>
        <w:t>)</w:t>
      </w:r>
    </w:p>
    <w:p w14:paraId="35654FBB" w14:textId="77777777" w:rsidR="00376BA1" w:rsidRPr="0061241E" w:rsidRDefault="00376BA1" w:rsidP="00BD08A3">
      <w:r w:rsidRPr="0061241E">
        <w:tab/>
      </w:r>
      <w:r w:rsidRPr="0061241E">
        <w:tab/>
      </w:r>
      <w:r w:rsidRPr="0061241E">
        <w:tab/>
      </w:r>
      <w:r w:rsidRPr="0061241E">
        <w:tab/>
      </w:r>
      <w:r w:rsidRPr="0061241E">
        <w:tab/>
      </w:r>
      <w:r w:rsidRPr="0061241E">
        <w:tab/>
      </w:r>
      <w:r w:rsidRPr="0061241E">
        <w:tab/>
        <w:t>)</w:t>
      </w:r>
    </w:p>
    <w:p w14:paraId="0AB095C6" w14:textId="77777777" w:rsidR="00376BA1" w:rsidRPr="0061241E" w:rsidRDefault="00376BA1" w:rsidP="00BD08A3">
      <w:r w:rsidRPr="0061241E">
        <w:tab/>
      </w:r>
      <w:r w:rsidRPr="0061241E">
        <w:tab/>
        <w:t>Petitioner,</w:t>
      </w:r>
      <w:r w:rsidRPr="0061241E">
        <w:tab/>
      </w:r>
      <w:r w:rsidRPr="0061241E">
        <w:tab/>
      </w:r>
      <w:r w:rsidRPr="0061241E">
        <w:tab/>
      </w:r>
      <w:r w:rsidRPr="0061241E">
        <w:tab/>
        <w:t>)</w:t>
      </w:r>
    </w:p>
    <w:p w14:paraId="336E826E" w14:textId="77777777" w:rsidR="00376BA1" w:rsidRPr="0061241E" w:rsidRDefault="00376BA1" w:rsidP="00BD08A3">
      <w:r w:rsidRPr="0061241E">
        <w:tab/>
      </w:r>
      <w:r w:rsidRPr="0061241E">
        <w:tab/>
      </w:r>
      <w:r w:rsidRPr="0061241E">
        <w:tab/>
      </w:r>
      <w:r w:rsidRPr="0061241E">
        <w:tab/>
      </w:r>
      <w:r w:rsidRPr="0061241E">
        <w:tab/>
      </w:r>
      <w:r w:rsidRPr="0061241E">
        <w:tab/>
      </w:r>
      <w:r w:rsidRPr="0061241E">
        <w:tab/>
        <w:t>)</w:t>
      </w:r>
    </w:p>
    <w:p w14:paraId="318E83F6" w14:textId="77777777" w:rsidR="00376BA1" w:rsidRPr="0061241E" w:rsidRDefault="00376BA1" w:rsidP="00BD08A3">
      <w:r w:rsidRPr="0061241E">
        <w:tab/>
        <w:t>v.</w:t>
      </w:r>
      <w:r w:rsidRPr="0061241E">
        <w:tab/>
      </w:r>
      <w:r w:rsidRPr="0061241E">
        <w:tab/>
      </w:r>
      <w:r w:rsidRPr="0061241E">
        <w:tab/>
      </w:r>
      <w:r w:rsidRPr="0061241E">
        <w:tab/>
      </w:r>
      <w:r w:rsidRPr="0061241E">
        <w:tab/>
      </w:r>
      <w:r w:rsidRPr="0061241E">
        <w:tab/>
        <w:t>)</w:t>
      </w:r>
      <w:r w:rsidRPr="0061241E">
        <w:tab/>
      </w:r>
      <w:r w:rsidRPr="0061241E">
        <w:tab/>
        <w:t>Docket No. 55973</w:t>
      </w:r>
    </w:p>
    <w:p w14:paraId="43695194" w14:textId="77777777" w:rsidR="00376BA1" w:rsidRPr="0061241E" w:rsidRDefault="00376BA1" w:rsidP="00BD08A3">
      <w:r w:rsidRPr="0061241E">
        <w:tab/>
      </w:r>
      <w:r w:rsidRPr="0061241E">
        <w:tab/>
      </w:r>
      <w:r w:rsidRPr="0061241E">
        <w:tab/>
      </w:r>
      <w:r w:rsidRPr="0061241E">
        <w:tab/>
      </w:r>
      <w:r w:rsidRPr="0061241E">
        <w:tab/>
      </w:r>
      <w:r w:rsidRPr="0061241E">
        <w:tab/>
      </w:r>
      <w:r w:rsidRPr="0061241E">
        <w:tab/>
        <w:t>)</w:t>
      </w:r>
    </w:p>
    <w:p w14:paraId="3A6B731B" w14:textId="77777777" w:rsidR="00376BA1" w:rsidRPr="0061241E" w:rsidRDefault="00376BA1" w:rsidP="00BD08A3">
      <w:r w:rsidRPr="0061241E">
        <w:t>GEORGIA POWER COMPANY,</w:t>
      </w:r>
      <w:r w:rsidRPr="0061241E">
        <w:tab/>
      </w:r>
      <w:r w:rsidRPr="0061241E">
        <w:tab/>
      </w:r>
      <w:r w:rsidRPr="0061241E">
        <w:tab/>
        <w:t>)</w:t>
      </w:r>
    </w:p>
    <w:p w14:paraId="472BB291" w14:textId="77777777" w:rsidR="00376BA1" w:rsidRPr="0061241E" w:rsidRDefault="00376BA1" w:rsidP="00BD08A3">
      <w:r w:rsidRPr="0061241E">
        <w:tab/>
      </w:r>
      <w:r w:rsidRPr="0061241E">
        <w:tab/>
      </w:r>
      <w:r w:rsidRPr="0061241E">
        <w:tab/>
      </w:r>
      <w:r w:rsidRPr="0061241E">
        <w:tab/>
      </w:r>
      <w:r w:rsidRPr="0061241E">
        <w:tab/>
      </w:r>
      <w:r w:rsidRPr="0061241E">
        <w:tab/>
      </w:r>
      <w:r w:rsidRPr="0061241E">
        <w:tab/>
        <w:t>)</w:t>
      </w:r>
    </w:p>
    <w:p w14:paraId="726E43C2" w14:textId="77777777" w:rsidR="00376BA1" w:rsidRPr="0061241E" w:rsidRDefault="00376BA1" w:rsidP="00BD08A3">
      <w:r w:rsidRPr="0061241E">
        <w:tab/>
      </w:r>
      <w:r w:rsidRPr="0061241E">
        <w:tab/>
        <w:t>Respondent.</w:t>
      </w:r>
      <w:r w:rsidRPr="0061241E">
        <w:tab/>
      </w:r>
      <w:r w:rsidRPr="0061241E">
        <w:tab/>
      </w:r>
      <w:r w:rsidRPr="0061241E">
        <w:tab/>
      </w:r>
      <w:r w:rsidRPr="0061241E">
        <w:tab/>
        <w:t>)</w:t>
      </w:r>
    </w:p>
    <w:p w14:paraId="0B2A5693" w14:textId="77777777" w:rsidR="00376BA1" w:rsidRPr="0061241E" w:rsidRDefault="00376BA1" w:rsidP="00BD08A3"/>
    <w:p w14:paraId="72480ADC" w14:textId="77777777" w:rsidR="00376BA1" w:rsidRPr="00BD08A3" w:rsidRDefault="00376BA1" w:rsidP="00BD08A3"/>
    <w:p w14:paraId="50D5825F" w14:textId="51EDCA91" w:rsidR="00376BA1" w:rsidRPr="0061241E" w:rsidRDefault="00376BA1" w:rsidP="00BD08A3">
      <w:pPr>
        <w:pStyle w:val="BodyText"/>
        <w:spacing w:before="240"/>
        <w:jc w:val="center"/>
        <w:rPr>
          <w:b/>
          <w:u w:val="single"/>
        </w:rPr>
      </w:pPr>
      <w:r w:rsidRPr="0061241E">
        <w:rPr>
          <w:b/>
          <w:u w:val="single"/>
        </w:rPr>
        <w:t>GEORGIA POWER COMPANY</w:t>
      </w:r>
      <w:r>
        <w:rPr>
          <w:b/>
          <w:u w:val="single"/>
        </w:rPr>
        <w:t>’</w:t>
      </w:r>
      <w:r w:rsidRPr="0061241E">
        <w:rPr>
          <w:b/>
          <w:u w:val="single"/>
        </w:rPr>
        <w:t>S OBJECTION TO PETITIONER</w:t>
      </w:r>
      <w:r>
        <w:rPr>
          <w:b/>
          <w:u w:val="single"/>
        </w:rPr>
        <w:t>’</w:t>
      </w:r>
      <w:r w:rsidRPr="0061241E">
        <w:rPr>
          <w:b/>
          <w:u w:val="single"/>
        </w:rPr>
        <w:t xml:space="preserve">S MOTION FOR LEAVE TO FILE SUPPLEMENTAL </w:t>
      </w:r>
      <w:proofErr w:type="spellStart"/>
      <w:r w:rsidRPr="0061241E">
        <w:rPr>
          <w:b/>
          <w:u w:val="single"/>
        </w:rPr>
        <w:t>PREFILED</w:t>
      </w:r>
      <w:proofErr w:type="spellEnd"/>
      <w:r w:rsidRPr="0061241E">
        <w:rPr>
          <w:b/>
          <w:u w:val="single"/>
        </w:rPr>
        <w:t xml:space="preserve"> DIRECT TESTIMONY </w:t>
      </w:r>
    </w:p>
    <w:p w14:paraId="29F75872" w14:textId="1D14BC29" w:rsidR="00376BA1" w:rsidRPr="00BD08A3" w:rsidRDefault="00376BA1" w:rsidP="00BD08A3">
      <w:pPr>
        <w:spacing w:line="480" w:lineRule="auto"/>
        <w:ind w:firstLine="720"/>
        <w:jc w:val="both"/>
      </w:pPr>
      <w:r w:rsidRPr="0061241E">
        <w:t>COMES NOW Georgia Power Company (</w:t>
      </w:r>
      <w:r>
        <w:t>“</w:t>
      </w:r>
      <w:r w:rsidRPr="0061241E">
        <w:t>Georgia Power</w:t>
      </w:r>
      <w:r>
        <w:t>”</w:t>
      </w:r>
      <w:r w:rsidRPr="0061241E">
        <w:t xml:space="preserve"> or the </w:t>
      </w:r>
      <w:r>
        <w:t>“</w:t>
      </w:r>
      <w:r w:rsidRPr="0061241E">
        <w:t>Company</w:t>
      </w:r>
      <w:r>
        <w:t>”</w:t>
      </w:r>
      <w:r w:rsidRPr="0061241E">
        <w:t>), Respondent in the above-referenced matter, and files its objection to</w:t>
      </w:r>
      <w:r w:rsidRPr="0015391C">
        <w:t xml:space="preserve"> </w:t>
      </w:r>
      <w:r w:rsidRPr="0061241E">
        <w:t>Petitioner, City of Cartersville</w:t>
      </w:r>
      <w:r>
        <w:t>’s</w:t>
      </w:r>
      <w:r w:rsidRPr="0061241E">
        <w:t xml:space="preserve"> (</w:t>
      </w:r>
      <w:r>
        <w:t>“</w:t>
      </w:r>
      <w:r w:rsidRPr="0061241E">
        <w:t>Cartersville</w:t>
      </w:r>
      <w:r>
        <w:t>”</w:t>
      </w:r>
      <w:r w:rsidRPr="0061241E">
        <w:t xml:space="preserve">) </w:t>
      </w:r>
      <w:r>
        <w:t>M</w:t>
      </w:r>
      <w:r w:rsidRPr="0061241E">
        <w:t xml:space="preserve">otion </w:t>
      </w:r>
      <w:r>
        <w:t xml:space="preserve">for Leave </w:t>
      </w:r>
      <w:r w:rsidRPr="0061241E">
        <w:t xml:space="preserve">to </w:t>
      </w:r>
      <w:r w:rsidR="00FC7FCD">
        <w:t xml:space="preserve">File </w:t>
      </w:r>
      <w:r>
        <w:t>S</w:t>
      </w:r>
      <w:r w:rsidRPr="0061241E">
        <w:t>upplement</w:t>
      </w:r>
      <w:r w:rsidR="00FC7FCD">
        <w:t>al</w:t>
      </w:r>
      <w:r w:rsidRPr="0061241E">
        <w:t xml:space="preserve"> </w:t>
      </w:r>
      <w:proofErr w:type="spellStart"/>
      <w:r>
        <w:t>P</w:t>
      </w:r>
      <w:r w:rsidRPr="0061241E">
        <w:t>refiled</w:t>
      </w:r>
      <w:proofErr w:type="spellEnd"/>
      <w:r w:rsidRPr="0061241E">
        <w:t xml:space="preserve"> </w:t>
      </w:r>
      <w:r>
        <w:t>D</w:t>
      </w:r>
      <w:r w:rsidRPr="0061241E">
        <w:t xml:space="preserve">irect </w:t>
      </w:r>
      <w:r>
        <w:t>T</w:t>
      </w:r>
      <w:r w:rsidRPr="0061241E">
        <w:t xml:space="preserve">estimony (the </w:t>
      </w:r>
      <w:r>
        <w:t>“</w:t>
      </w:r>
      <w:r w:rsidRPr="0061241E">
        <w:t>Motion</w:t>
      </w:r>
      <w:r>
        <w:t>”</w:t>
      </w:r>
      <w:r w:rsidRPr="0061241E">
        <w:t xml:space="preserve">). </w:t>
      </w:r>
      <w:r w:rsidRPr="00F82C79">
        <w:t xml:space="preserve">Because </w:t>
      </w:r>
      <w:r w:rsidR="00FC7FCD">
        <w:t xml:space="preserve">Cartersville </w:t>
      </w:r>
      <w:r w:rsidR="00EE6CA0">
        <w:t xml:space="preserve">seeks to introduce </w:t>
      </w:r>
      <w:r>
        <w:t xml:space="preserve">irrelevant and </w:t>
      </w:r>
      <w:r w:rsidRPr="00FD3E8C">
        <w:t>untimely</w:t>
      </w:r>
      <w:r w:rsidR="00EE6CA0">
        <w:t xml:space="preserve"> evidence</w:t>
      </w:r>
      <w:r w:rsidRPr="00FD3E8C">
        <w:t xml:space="preserve">, </w:t>
      </w:r>
      <w:r w:rsidR="00FC7FCD">
        <w:t xml:space="preserve">the </w:t>
      </w:r>
      <w:r w:rsidRPr="00F82C79">
        <w:t xml:space="preserve">Motion </w:t>
      </w:r>
      <w:r w:rsidR="00FC7FCD">
        <w:t xml:space="preserve">should </w:t>
      </w:r>
      <w:r w:rsidRPr="00F82C79">
        <w:t>be denied.</w:t>
      </w:r>
    </w:p>
    <w:p w14:paraId="1108D067" w14:textId="77777777" w:rsidR="00376BA1" w:rsidRPr="00F424DC" w:rsidRDefault="00376BA1" w:rsidP="00F424DC">
      <w:pPr>
        <w:pStyle w:val="ListParagraph"/>
        <w:numPr>
          <w:ilvl w:val="0"/>
          <w:numId w:val="17"/>
        </w:numPr>
        <w:spacing w:after="240"/>
        <w:jc w:val="both"/>
        <w:rPr>
          <w:b/>
          <w:bCs/>
        </w:rPr>
      </w:pPr>
      <w:r>
        <w:rPr>
          <w:b/>
          <w:bCs/>
        </w:rPr>
        <w:t>Georgia Power</w:t>
      </w:r>
      <w:r w:rsidRPr="00F424DC">
        <w:rPr>
          <w:b/>
          <w:bCs/>
        </w:rPr>
        <w:t xml:space="preserve"> disputes that the connected load at the time of initial full operation of the Premises exceeded 900 kW, and any characterization to the contrary is </w:t>
      </w:r>
      <w:r w:rsidRPr="000C127A">
        <w:rPr>
          <w:b/>
          <w:bCs/>
        </w:rPr>
        <w:t>mistaken</w:t>
      </w:r>
      <w:r w:rsidRPr="00F424DC">
        <w:rPr>
          <w:b/>
          <w:bCs/>
        </w:rPr>
        <w:t>.</w:t>
      </w:r>
    </w:p>
    <w:p w14:paraId="1A2FC1BB" w14:textId="3F8333E1" w:rsidR="00376BA1" w:rsidRDefault="00376BA1" w:rsidP="00CA4332">
      <w:pPr>
        <w:spacing w:line="480" w:lineRule="auto"/>
        <w:ind w:firstLine="720"/>
        <w:jc w:val="both"/>
      </w:pPr>
      <w:r w:rsidRPr="00222EEF">
        <w:t xml:space="preserve">As an initial matter, Georgia Power </w:t>
      </w:r>
      <w:r w:rsidR="00FC7FCD">
        <w:t xml:space="preserve">clarifies </w:t>
      </w:r>
      <w:r w:rsidRPr="00222EEF">
        <w:t>Cartersville</w:t>
      </w:r>
      <w:r>
        <w:t>’</w:t>
      </w:r>
      <w:r w:rsidRPr="00222EEF">
        <w:t xml:space="preserve">s </w:t>
      </w:r>
      <w:r>
        <w:t>assertion</w:t>
      </w:r>
      <w:r w:rsidRPr="00222EEF">
        <w:t xml:space="preserve"> that </w:t>
      </w:r>
      <w:r>
        <w:t>“</w:t>
      </w:r>
      <w:r w:rsidRPr="00222EEF">
        <w:t>for</w:t>
      </w:r>
      <w:r>
        <w:t xml:space="preserve"> purposes of the pending motion for summary judgment, Respondent is not disputing that </w:t>
      </w:r>
      <w:r w:rsidR="00285D70">
        <w:t>Allied Tube &amp; Conduit Corp.’s</w:t>
      </w:r>
      <w:r>
        <w:t xml:space="preserve"> </w:t>
      </w:r>
      <w:r w:rsidR="00285D70">
        <w:t xml:space="preserve">(“Atkore”) </w:t>
      </w:r>
      <w:r>
        <w:t xml:space="preserve">connected load at the time of its initial operation of the premises was 900 kilowatts or greater.” </w:t>
      </w:r>
      <w:r w:rsidR="00F56108">
        <w:t>(</w:t>
      </w:r>
      <w:r>
        <w:t>Motion at 2.</w:t>
      </w:r>
      <w:r w:rsidR="00F56108">
        <w:t>)</w:t>
      </w:r>
      <w:r>
        <w:t xml:space="preserve"> This contention misrepresents Georgia Power’s position. As articulated in Georgia Power’s Motion for Summary Judgment, “the Premises did not have connected load of 900 kW or greater at initial full operation.” </w:t>
      </w:r>
      <w:r w:rsidR="00F56108">
        <w:t>(</w:t>
      </w:r>
      <w:r>
        <w:t>Motion for Summary Judgment at 8-10.</w:t>
      </w:r>
      <w:r w:rsidR="00F56108">
        <w:t>)</w:t>
      </w:r>
      <w:r>
        <w:t xml:space="preserve"> </w:t>
      </w:r>
    </w:p>
    <w:p w14:paraId="3527F342" w14:textId="73E393F9" w:rsidR="00376BA1" w:rsidRDefault="00376BA1" w:rsidP="00CA4332">
      <w:pPr>
        <w:spacing w:line="480" w:lineRule="auto"/>
        <w:ind w:firstLine="720"/>
        <w:jc w:val="both"/>
      </w:pPr>
      <w:r w:rsidRPr="00B608EB">
        <w:lastRenderedPageBreak/>
        <w:t>Cartersville</w:t>
      </w:r>
      <w:r>
        <w:t>’</w:t>
      </w:r>
      <w:r w:rsidRPr="00B608EB">
        <w:t xml:space="preserve">s </w:t>
      </w:r>
      <w:r w:rsidR="008747BF">
        <w:t xml:space="preserve">assertion and </w:t>
      </w:r>
      <w:r w:rsidR="007D1143">
        <w:t xml:space="preserve">Motion </w:t>
      </w:r>
      <w:r>
        <w:t xml:space="preserve">underscore </w:t>
      </w:r>
      <w:r w:rsidR="007D1143">
        <w:t xml:space="preserve">its </w:t>
      </w:r>
      <w:r w:rsidRPr="00B608EB">
        <w:t>fundamental misunderstand</w:t>
      </w:r>
      <w:r>
        <w:t>ing of</w:t>
      </w:r>
      <w:r w:rsidRPr="00B608EB">
        <w:t xml:space="preserve"> the </w:t>
      </w:r>
      <w:r w:rsidR="007D1143">
        <w:t xml:space="preserve">plain </w:t>
      </w:r>
      <w:r w:rsidRPr="00B608EB">
        <w:t xml:space="preserve">text of </w:t>
      </w:r>
      <w:r>
        <w:t xml:space="preserve">the Georgia </w:t>
      </w:r>
      <w:r w:rsidRPr="00FD3E8C">
        <w:t>Territorial</w:t>
      </w:r>
      <w:r w:rsidRPr="00B608EB">
        <w:t xml:space="preserve"> </w:t>
      </w:r>
      <w:r>
        <w:t xml:space="preserve">Electric Service </w:t>
      </w:r>
      <w:r w:rsidRPr="00B608EB">
        <w:t>Act</w:t>
      </w:r>
      <w:r>
        <w:t xml:space="preserve"> (the “Territorial Act”). Cartersville </w:t>
      </w:r>
      <w:r w:rsidR="007D1143">
        <w:t xml:space="preserve">is conflating </w:t>
      </w:r>
      <w:r w:rsidRPr="00B608EB">
        <w:t xml:space="preserve">connected load </w:t>
      </w:r>
      <w:r>
        <w:t>“</w:t>
      </w:r>
      <w:r w:rsidRPr="00B608EB">
        <w:t>at the time of initial full operation of the premises</w:t>
      </w:r>
      <w:r>
        <w:t>”</w:t>
      </w:r>
      <w:r w:rsidRPr="00B608EB">
        <w:t xml:space="preserve"> (a </w:t>
      </w:r>
      <w:r w:rsidR="00737A38">
        <w:t xml:space="preserve">statutory </w:t>
      </w:r>
      <w:r w:rsidRPr="00B608EB">
        <w:t>term of art) with the load of any new tenant</w:t>
      </w:r>
      <w:r>
        <w:t xml:space="preserve"> when it begins operating at an existing premises (</w:t>
      </w:r>
      <w:r w:rsidR="007D1143">
        <w:t xml:space="preserve">an </w:t>
      </w:r>
      <w:r>
        <w:t>arbitrary metric of no legal significance)</w:t>
      </w:r>
      <w:r w:rsidRPr="00B608EB">
        <w:t>.</w:t>
      </w:r>
      <w:r>
        <w:t xml:space="preserve"> (Motion at 1-2.) “</w:t>
      </w:r>
      <w:r w:rsidR="007151D0">
        <w:t xml:space="preserve">Connected </w:t>
      </w:r>
      <w:r>
        <w:t xml:space="preserve">load” at “initial full operation” has </w:t>
      </w:r>
      <w:r w:rsidR="00D65ECA">
        <w:t xml:space="preserve">specific </w:t>
      </w:r>
      <w:r>
        <w:t xml:space="preserve">meaning under the </w:t>
      </w:r>
      <w:r w:rsidRPr="00756F3D">
        <w:t>Territorial</w:t>
      </w:r>
      <w:r>
        <w:t xml:space="preserve"> Act</w:t>
      </w:r>
      <w:r w:rsidR="00CA37CE">
        <w:t>.</w:t>
      </w:r>
      <w:r>
        <w:t xml:space="preserve"> </w:t>
      </w:r>
      <w:r w:rsidR="007151D0">
        <w:t xml:space="preserve">As the Commission has determined previously, “the term ‘initial full operation of the premises’ means </w:t>
      </w:r>
      <w:r>
        <w:t>t</w:t>
      </w:r>
      <w:r w:rsidRPr="006A4521">
        <w:t xml:space="preserve">he load to be furnished the customer at the time </w:t>
      </w:r>
      <w:r w:rsidRPr="00611D7B">
        <w:t>the customer commences full operation of the facility as designed</w:t>
      </w:r>
      <w:r w:rsidRPr="006A4521">
        <w:t>.</w:t>
      </w:r>
      <w:r>
        <w:t>”</w:t>
      </w:r>
      <w:r>
        <w:rPr>
          <w:rStyle w:val="FootnoteReference"/>
        </w:rPr>
        <w:footnoteReference w:id="1"/>
      </w:r>
      <w:r>
        <w:t xml:space="preserve"> A premises, as defined in the Territorial Act, </w:t>
      </w:r>
      <w:r w:rsidRPr="00302F14">
        <w:t xml:space="preserve">is </w:t>
      </w:r>
      <w:r w:rsidR="00F36307">
        <w:t xml:space="preserve">the premises itself, </w:t>
      </w:r>
      <w:r w:rsidRPr="00302F14">
        <w:t>untethered from the customer</w:t>
      </w:r>
      <w:r>
        <w:t xml:space="preserve"> or</w:t>
      </w:r>
      <w:r w:rsidRPr="00302F14">
        <w:t xml:space="preserve"> tenant</w:t>
      </w:r>
      <w:r>
        <w:t>.</w:t>
      </w:r>
      <w:r>
        <w:rPr>
          <w:rStyle w:val="FootnoteReference"/>
        </w:rPr>
        <w:footnoteReference w:id="2"/>
      </w:r>
      <w:r w:rsidRPr="000F5211">
        <w:t xml:space="preserve"> </w:t>
      </w:r>
      <w:r>
        <w:t xml:space="preserve">Once established, the connected load at that fixed point in time </w:t>
      </w:r>
      <w:r w:rsidRPr="00302F14">
        <w:t>does not change</w:t>
      </w:r>
      <w:r>
        <w:t xml:space="preserve">, </w:t>
      </w:r>
      <w:r w:rsidRPr="00302F14">
        <w:t>absent destruction and dismantlement of the premises</w:t>
      </w:r>
      <w:r>
        <w:t xml:space="preserve"> and reconstruction</w:t>
      </w:r>
      <w:r w:rsidRPr="00302F14">
        <w:t xml:space="preserve"> not in substantial kind.</w:t>
      </w:r>
      <w:r>
        <w:rPr>
          <w:rStyle w:val="FootnoteReference"/>
        </w:rPr>
        <w:footnoteReference w:id="3"/>
      </w:r>
    </w:p>
    <w:p w14:paraId="58ABFA06" w14:textId="709146E9" w:rsidR="00376BA1" w:rsidRDefault="00376BA1" w:rsidP="00CA4332">
      <w:pPr>
        <w:spacing w:line="480" w:lineRule="auto"/>
        <w:ind w:firstLine="720"/>
        <w:jc w:val="both"/>
      </w:pPr>
      <w:r>
        <w:t xml:space="preserve">To be clear, </w:t>
      </w:r>
      <w:r w:rsidR="008A1CB9">
        <w:t xml:space="preserve">Georgia Power </w:t>
      </w:r>
      <w:r w:rsidR="00737A38">
        <w:t>understands that Cartersville has introduced</w:t>
      </w:r>
      <w:r w:rsidR="008A1CB9">
        <w:t xml:space="preserve"> load studies </w:t>
      </w:r>
      <w:r w:rsidR="00737A38">
        <w:t>for the Premises dated May 31, 2023, and August 30, 2023</w:t>
      </w:r>
      <w:r w:rsidR="008A1CB9">
        <w:t xml:space="preserve">, showing a total load of 1,514.94 kVA and 1,543.14 kVA, respectively. </w:t>
      </w:r>
      <w:r w:rsidR="008A1CB9" w:rsidRPr="007634A2">
        <w:rPr>
          <w:i/>
          <w:iCs/>
        </w:rPr>
        <w:t>See</w:t>
      </w:r>
      <w:r w:rsidR="008A1CB9">
        <w:t xml:space="preserve"> Exhibit P14; Exhibit P24. </w:t>
      </w:r>
      <w:r>
        <w:t xml:space="preserve">However, </w:t>
      </w:r>
      <w:r w:rsidR="002973D1">
        <w:t xml:space="preserve">since </w:t>
      </w:r>
      <w:r>
        <w:t>the Premises had already reached initial full operation</w:t>
      </w:r>
      <w:r w:rsidR="006E6056">
        <w:t xml:space="preserve"> well below 900 kW</w:t>
      </w:r>
      <w:r>
        <w:t xml:space="preserve">, </w:t>
      </w:r>
      <w:r w:rsidR="002302D8">
        <w:t xml:space="preserve">Atkore’s </w:t>
      </w:r>
      <w:r w:rsidR="009930B5">
        <w:t>plan</w:t>
      </w:r>
      <w:r w:rsidR="002973D1">
        <w:t xml:space="preserve">s for expanded </w:t>
      </w:r>
      <w:r w:rsidR="002302D8">
        <w:t xml:space="preserve">use of the property </w:t>
      </w:r>
      <w:r w:rsidR="002973D1">
        <w:t>are</w:t>
      </w:r>
      <w:r w:rsidR="009930B5">
        <w:t xml:space="preserve"> irrelevant</w:t>
      </w:r>
      <w:r w:rsidR="002973D1">
        <w:t xml:space="preserve"> because future expansions of </w:t>
      </w:r>
      <w:r w:rsidR="00C15BD0">
        <w:t>a</w:t>
      </w:r>
      <w:r w:rsidR="002973D1">
        <w:t xml:space="preserve"> premises do not qualify </w:t>
      </w:r>
      <w:r w:rsidR="00C15BD0">
        <w:t xml:space="preserve">the premises </w:t>
      </w:r>
      <w:r w:rsidR="002973D1">
        <w:t>for the large load exception</w:t>
      </w:r>
      <w:r>
        <w:t>.</w:t>
      </w:r>
      <w:r w:rsidR="009930B5">
        <w:rPr>
          <w:rStyle w:val="FootnoteReference"/>
        </w:rPr>
        <w:footnoteReference w:id="4"/>
      </w:r>
    </w:p>
    <w:p w14:paraId="58A3AA38" w14:textId="69756AD4" w:rsidR="00376BA1" w:rsidRPr="003745CF" w:rsidRDefault="00C15BD0" w:rsidP="00E03163">
      <w:pPr>
        <w:pStyle w:val="ListParagraph"/>
        <w:numPr>
          <w:ilvl w:val="0"/>
          <w:numId w:val="17"/>
        </w:numPr>
        <w:spacing w:after="240"/>
        <w:jc w:val="both"/>
        <w:rPr>
          <w:b/>
          <w:bCs/>
        </w:rPr>
      </w:pPr>
      <w:r>
        <w:rPr>
          <w:b/>
          <w:bCs/>
        </w:rPr>
        <w:lastRenderedPageBreak/>
        <w:t>T</w:t>
      </w:r>
      <w:r w:rsidR="00376BA1" w:rsidRPr="003745CF">
        <w:rPr>
          <w:b/>
          <w:bCs/>
        </w:rPr>
        <w:t>he proposed supplemental direct testimony is irrelevant and unhelpful to the hearing officer in resolving the issue in this case.</w:t>
      </w:r>
    </w:p>
    <w:p w14:paraId="14E91BF9" w14:textId="7F26D908" w:rsidR="00E652AF" w:rsidRDefault="00376BA1" w:rsidP="000C127A">
      <w:pPr>
        <w:spacing w:line="480" w:lineRule="auto"/>
        <w:ind w:firstLine="720"/>
        <w:jc w:val="both"/>
      </w:pPr>
      <w:r w:rsidRPr="00710569">
        <w:t>Georgia Power objects to the Motion as</w:t>
      </w:r>
      <w:r>
        <w:t xml:space="preserve"> it seeks to introduce</w:t>
      </w:r>
      <w:r w:rsidRPr="00710569">
        <w:t xml:space="preserve"> </w:t>
      </w:r>
      <w:r>
        <w:t>irrelevant evidence</w:t>
      </w:r>
      <w:r w:rsidRPr="00710569">
        <w:t xml:space="preserve">. Under Georgia law, </w:t>
      </w:r>
      <w:r>
        <w:t>“</w:t>
      </w:r>
      <w:r w:rsidRPr="00710569">
        <w:t>[e]</w:t>
      </w:r>
      <w:proofErr w:type="spellStart"/>
      <w:r w:rsidRPr="00710569">
        <w:t>vidence</w:t>
      </w:r>
      <w:proofErr w:type="spellEnd"/>
      <w:r w:rsidRPr="00710569">
        <w:t xml:space="preserve"> is relevant if it logically tends to prove or disprove a</w:t>
      </w:r>
      <w:r w:rsidRPr="003A4B46">
        <w:t xml:space="preserve"> material fact at issue in a case.</w:t>
      </w:r>
      <w:r>
        <w:t>”</w:t>
      </w:r>
      <w:r>
        <w:rPr>
          <w:rStyle w:val="FootnoteReference"/>
        </w:rPr>
        <w:footnoteReference w:id="5"/>
      </w:r>
      <w:r>
        <w:t xml:space="preserve"> Cartersville’s request to offer evidence and testimony of “Atkore’s connected load at the time of its initial operation of the premises” do</w:t>
      </w:r>
      <w:r w:rsidR="00EC3D8D">
        <w:t>es</w:t>
      </w:r>
      <w:r>
        <w:t xml:space="preserve"> not address any of the elements of the </w:t>
      </w:r>
      <w:r w:rsidRPr="00DA66E3">
        <w:t>Territorial</w:t>
      </w:r>
      <w:r>
        <w:t xml:space="preserve"> Act’s large load exception. (Motion at 2.)</w:t>
      </w:r>
      <w:r w:rsidR="006E6056">
        <w:t xml:space="preserve"> The proffered evidence seeks to establish Atkore’s planned </w:t>
      </w:r>
      <w:r w:rsidR="006E6056" w:rsidRPr="00611D7B">
        <w:rPr>
          <w:b/>
          <w:bCs/>
          <w:u w:val="single"/>
        </w:rPr>
        <w:t>use</w:t>
      </w:r>
      <w:r w:rsidR="006E6056">
        <w:t xml:space="preserve"> of the premises</w:t>
      </w:r>
      <w:r w:rsidR="00C15BD0">
        <w:t>;</w:t>
      </w:r>
      <w:r w:rsidR="006E6056">
        <w:t xml:space="preserve"> it does not address the connected load </w:t>
      </w:r>
      <w:r w:rsidR="00E652AF" w:rsidRPr="00611D7B">
        <w:rPr>
          <w:b/>
          <w:bCs/>
        </w:rPr>
        <w:t>of the premises</w:t>
      </w:r>
      <w:r w:rsidR="00E652AF">
        <w:t xml:space="preserve"> at initial full operation.</w:t>
      </w:r>
      <w:r w:rsidRPr="00DA66E3">
        <w:t xml:space="preserve"> </w:t>
      </w:r>
    </w:p>
    <w:p w14:paraId="19C611B8" w14:textId="4862E5BE" w:rsidR="00376BA1" w:rsidRPr="00701E89" w:rsidRDefault="00E652AF" w:rsidP="000C127A">
      <w:pPr>
        <w:spacing w:line="480" w:lineRule="auto"/>
        <w:ind w:firstLine="720"/>
        <w:jc w:val="both"/>
      </w:pPr>
      <w:r>
        <w:t>Further, t</w:t>
      </w:r>
      <w:r w:rsidRPr="00DA66E3">
        <w:t>he</w:t>
      </w:r>
      <w:r>
        <w:t xml:space="preserve"> </w:t>
      </w:r>
      <w:r w:rsidR="00376BA1" w:rsidRPr="00701E89">
        <w:t xml:space="preserve">duplicative nature of the additional load study precludes </w:t>
      </w:r>
      <w:r w:rsidR="00376BA1">
        <w:t>any</w:t>
      </w:r>
      <w:r w:rsidR="00376BA1" w:rsidRPr="00701E89">
        <w:t xml:space="preserve"> relevance</w:t>
      </w:r>
      <w:r w:rsidR="00376BA1">
        <w:t xml:space="preserve"> it could have, as</w:t>
      </w:r>
      <w:r w:rsidR="00376BA1" w:rsidRPr="00701E89">
        <w:t xml:space="preserve"> </w:t>
      </w:r>
      <w:r w:rsidR="00376BA1">
        <w:t xml:space="preserve">Petitioner already </w:t>
      </w:r>
      <w:r w:rsidR="00376BA1" w:rsidRPr="00701E89">
        <w:t>introduced load studies dated May 31, 2023</w:t>
      </w:r>
      <w:r w:rsidR="00285D70">
        <w:t>,</w:t>
      </w:r>
      <w:r w:rsidR="00376BA1" w:rsidRPr="00701E89">
        <w:t xml:space="preserve"> and August 30, 2023</w:t>
      </w:r>
      <w:r w:rsidR="00EC3D8D">
        <w:t>.</w:t>
      </w:r>
      <w:r w:rsidR="00376BA1" w:rsidRPr="00701E89">
        <w:t xml:space="preserve"> (</w:t>
      </w:r>
      <w:r w:rsidR="00376BA1" w:rsidRPr="00701E89">
        <w:rPr>
          <w:i/>
          <w:iCs/>
        </w:rPr>
        <w:t>See</w:t>
      </w:r>
      <w:r w:rsidR="00376BA1" w:rsidRPr="00701E89">
        <w:t xml:space="preserve"> Exhibit P24 and P14</w:t>
      </w:r>
      <w:r w:rsidR="00EE6CA0">
        <w:t>.</w:t>
      </w:r>
      <w:r w:rsidR="00376BA1" w:rsidRPr="00701E89">
        <w:t>)</w:t>
      </w:r>
      <w:r w:rsidR="00376BA1">
        <w:t xml:space="preserve"> A prospective load count conducted some nine months </w:t>
      </w:r>
      <w:r w:rsidR="00376BA1" w:rsidRPr="008B01B7">
        <w:rPr>
          <w:i/>
          <w:iCs/>
        </w:rPr>
        <w:t>after</w:t>
      </w:r>
      <w:r w:rsidR="00376BA1">
        <w:t xml:space="preserve"> Cartersville filed its petition is not helpful to the hearing officer in resolving the issue in this case. For each of these reasons, Georgia Power objects to the introduction of </w:t>
      </w:r>
      <w:r w:rsidR="00D91003">
        <w:t xml:space="preserve">the </w:t>
      </w:r>
      <w:r w:rsidR="00376BA1">
        <w:t xml:space="preserve">irrelevant </w:t>
      </w:r>
      <w:r w:rsidR="00D91003">
        <w:t xml:space="preserve">testimony </w:t>
      </w:r>
      <w:r w:rsidR="00376BA1">
        <w:t>in this proceeding.</w:t>
      </w:r>
    </w:p>
    <w:p w14:paraId="69723A69" w14:textId="77777777" w:rsidR="00376BA1" w:rsidRDefault="00376BA1" w:rsidP="00611D7B">
      <w:pPr>
        <w:spacing w:line="480" w:lineRule="auto"/>
        <w:jc w:val="center"/>
        <w:rPr>
          <w:b/>
          <w:bCs/>
          <w:u w:val="single"/>
        </w:rPr>
      </w:pPr>
      <w:r w:rsidRPr="00BD08A3">
        <w:rPr>
          <w:b/>
          <w:bCs/>
          <w:u w:val="single"/>
        </w:rPr>
        <w:t>CONCLUSION</w:t>
      </w:r>
    </w:p>
    <w:p w14:paraId="5E37CC9F" w14:textId="46F03EFB" w:rsidR="00376BA1" w:rsidRDefault="00376BA1" w:rsidP="00980F8B">
      <w:pPr>
        <w:spacing w:line="480" w:lineRule="auto"/>
        <w:ind w:firstLine="720"/>
        <w:jc w:val="both"/>
      </w:pPr>
      <w:r w:rsidRPr="000553FC">
        <w:t xml:space="preserve">Courts routinely exclude irrelevant testimony and evidence, whether </w:t>
      </w:r>
      <w:r>
        <w:t>late or</w:t>
      </w:r>
      <w:r w:rsidRPr="000553FC">
        <w:t xml:space="preserve"> timely. The Hearing Officer appointed by the Commission may do so as well. </w:t>
      </w:r>
      <w:r w:rsidRPr="000553FC">
        <w:rPr>
          <w:i/>
          <w:iCs/>
        </w:rPr>
        <w:t>See Ga. Power Co. v. Ga. Pub. Service Comm</w:t>
      </w:r>
      <w:r>
        <w:rPr>
          <w:i/>
          <w:iCs/>
        </w:rPr>
        <w:t>’</w:t>
      </w:r>
      <w:r w:rsidRPr="000553FC">
        <w:rPr>
          <w:i/>
          <w:iCs/>
        </w:rPr>
        <w:t>n</w:t>
      </w:r>
      <w:r w:rsidRPr="000553FC">
        <w:t xml:space="preserve">, 122 </w:t>
      </w:r>
      <w:proofErr w:type="spellStart"/>
      <w:r w:rsidRPr="000553FC">
        <w:t>P.U.R</w:t>
      </w:r>
      <w:proofErr w:type="spellEnd"/>
      <w:r w:rsidRPr="000553FC">
        <w:t>. 4th 214 (July 21, 1988) (</w:t>
      </w:r>
      <w:r>
        <w:t>“</w:t>
      </w:r>
      <w:r w:rsidRPr="000553FC">
        <w:t>Determining the competency and relevancy of evidence is within the express parameters of the Commission</w:t>
      </w:r>
      <w:r>
        <w:t>’</w:t>
      </w:r>
      <w:r w:rsidRPr="000553FC">
        <w:t xml:space="preserve">s authority and cannot be disturbed on review </w:t>
      </w:r>
      <w:proofErr w:type="gramStart"/>
      <w:r w:rsidRPr="000553FC">
        <w:t>[ ]</w:t>
      </w:r>
      <w:proofErr w:type="gramEnd"/>
      <w:r w:rsidRPr="000553FC">
        <w:t xml:space="preserve"> unless that authority has been manifestly abused.</w:t>
      </w:r>
      <w:r>
        <w:t>”</w:t>
      </w:r>
      <w:r w:rsidRPr="000553FC">
        <w:t>) The</w:t>
      </w:r>
      <w:r>
        <w:t xml:space="preserve"> July 16</w:t>
      </w:r>
      <w:r w:rsidRPr="000553FC">
        <w:rPr>
          <w:vertAlign w:val="superscript"/>
        </w:rPr>
        <w:t>th</w:t>
      </w:r>
      <w:r>
        <w:t xml:space="preserve"> load study and any supporting</w:t>
      </w:r>
      <w:r w:rsidRPr="000553FC">
        <w:t xml:space="preserve"> testimony of Gregory A. Rupert are irrelevant, untimely, and in violation of </w:t>
      </w:r>
      <w:r w:rsidRPr="000553FC">
        <w:lastRenderedPageBreak/>
        <w:t xml:space="preserve">the </w:t>
      </w:r>
      <w:r w:rsidR="00D91003">
        <w:t>Scheduling Order</w:t>
      </w:r>
      <w:r w:rsidRPr="000553FC">
        <w:t>.</w:t>
      </w:r>
      <w:r>
        <w:t xml:space="preserve"> </w:t>
      </w:r>
      <w:r w:rsidRPr="000553FC">
        <w:t>Accordingly, the Commission should deny Petitioner</w:t>
      </w:r>
      <w:r>
        <w:t>’</w:t>
      </w:r>
      <w:r w:rsidRPr="000553FC">
        <w:t xml:space="preserve">s Motion for Leave to File Supplemental </w:t>
      </w:r>
      <w:proofErr w:type="spellStart"/>
      <w:r w:rsidRPr="000553FC">
        <w:t>Prefiled</w:t>
      </w:r>
      <w:proofErr w:type="spellEnd"/>
      <w:r w:rsidRPr="000553FC">
        <w:t xml:space="preserve"> Direct Testimony.</w:t>
      </w:r>
    </w:p>
    <w:p w14:paraId="2BEF0C36" w14:textId="77777777" w:rsidR="00D91003" w:rsidRPr="00980F8B" w:rsidRDefault="00D91003" w:rsidP="00980F8B">
      <w:pPr>
        <w:spacing w:line="480" w:lineRule="auto"/>
        <w:ind w:firstLine="720"/>
        <w:jc w:val="both"/>
        <w:rPr>
          <w:b/>
          <w:bCs/>
          <w:u w:val="single"/>
        </w:rPr>
      </w:pPr>
    </w:p>
    <w:p w14:paraId="1DB1E0FB" w14:textId="222B0841" w:rsidR="00376BA1" w:rsidRPr="00BD08A3" w:rsidRDefault="00376BA1" w:rsidP="00980F8B">
      <w:pPr>
        <w:keepNext/>
        <w:spacing w:line="480" w:lineRule="auto"/>
        <w:ind w:firstLine="720"/>
        <w:jc w:val="both"/>
      </w:pPr>
      <w:r w:rsidRPr="00BD08A3">
        <w:t xml:space="preserve">Respectfully submitted, this </w:t>
      </w:r>
      <w:r w:rsidR="009115C1">
        <w:t>15</w:t>
      </w:r>
      <w:r w:rsidRPr="00BD08A3">
        <w:t xml:space="preserve">th day of </w:t>
      </w:r>
      <w:proofErr w:type="gramStart"/>
      <w:r w:rsidR="00E413CC">
        <w:t>September</w:t>
      </w:r>
      <w:r w:rsidRPr="00BD08A3">
        <w:t>,</w:t>
      </w:r>
      <w:proofErr w:type="gramEnd"/>
      <w:r w:rsidRPr="00BD08A3">
        <w:t xml:space="preserve"> 2025. </w:t>
      </w:r>
    </w:p>
    <w:p w14:paraId="4C10C244" w14:textId="77777777" w:rsidR="00376BA1" w:rsidRPr="00BD08A3" w:rsidRDefault="00376BA1" w:rsidP="00BD08A3">
      <w:pPr>
        <w:keepNext/>
        <w:rPr>
          <w:spacing w:val="-3"/>
        </w:rPr>
      </w:pPr>
    </w:p>
    <w:p w14:paraId="39F996AD" w14:textId="77777777" w:rsidR="00376BA1" w:rsidRPr="00BD08A3" w:rsidRDefault="00376BA1" w:rsidP="00BD08A3">
      <w:pPr>
        <w:keepNext/>
        <w:tabs>
          <w:tab w:val="left" w:pos="3960"/>
        </w:tabs>
        <w:rPr>
          <w:spacing w:val="-3"/>
        </w:rPr>
      </w:pPr>
      <w:r w:rsidRPr="00BD08A3">
        <w:rPr>
          <w:spacing w:val="-3"/>
        </w:rPr>
        <w:tab/>
      </w:r>
      <w:r w:rsidRPr="00BD08A3">
        <w:rPr>
          <w:spacing w:val="-3"/>
        </w:rPr>
        <w:tab/>
      </w:r>
      <w:r w:rsidRPr="00BD08A3">
        <w:rPr>
          <w:spacing w:val="-3"/>
        </w:rPr>
        <w:tab/>
      </w:r>
      <w:r w:rsidRPr="00BD08A3">
        <w:rPr>
          <w:spacing w:val="-3"/>
        </w:rPr>
        <w:tab/>
      </w:r>
      <w:r w:rsidRPr="00BD08A3">
        <w:rPr>
          <w:spacing w:val="-3"/>
        </w:rPr>
        <w:tab/>
      </w:r>
      <w:r w:rsidRPr="00BD08A3">
        <w:rPr>
          <w:spacing w:val="-3"/>
        </w:rPr>
        <w:tab/>
        <w:t>__________________________________</w:t>
      </w:r>
    </w:p>
    <w:p w14:paraId="37163ADF" w14:textId="77777777" w:rsidR="00376BA1" w:rsidRPr="00BD08A3" w:rsidRDefault="00376BA1" w:rsidP="00BD08A3">
      <w:pPr>
        <w:tabs>
          <w:tab w:val="left" w:pos="3960"/>
        </w:tabs>
        <w:rPr>
          <w:spacing w:val="-3"/>
        </w:rPr>
      </w:pPr>
      <w:r w:rsidRPr="00BD08A3">
        <w:rPr>
          <w:spacing w:val="-3"/>
        </w:rPr>
        <w:tab/>
        <w:t>Steven J. Hewitson</w:t>
      </w:r>
    </w:p>
    <w:p w14:paraId="6ADD568C" w14:textId="77777777" w:rsidR="00376BA1" w:rsidRPr="00BD08A3" w:rsidRDefault="00376BA1" w:rsidP="00BD08A3">
      <w:pPr>
        <w:tabs>
          <w:tab w:val="left" w:pos="3960"/>
        </w:tabs>
        <w:rPr>
          <w:spacing w:val="-3"/>
        </w:rPr>
      </w:pPr>
      <w:r w:rsidRPr="00BD08A3">
        <w:rPr>
          <w:spacing w:val="-3"/>
        </w:rPr>
        <w:tab/>
        <w:t>Allison W. Pryor</w:t>
      </w:r>
    </w:p>
    <w:p w14:paraId="484E3B62" w14:textId="77777777" w:rsidR="00376BA1" w:rsidRPr="00BD08A3" w:rsidRDefault="00376BA1" w:rsidP="00BD08A3">
      <w:pPr>
        <w:tabs>
          <w:tab w:val="left" w:pos="3960"/>
        </w:tabs>
        <w:rPr>
          <w:spacing w:val="-3"/>
        </w:rPr>
      </w:pPr>
      <w:r w:rsidRPr="00BD08A3">
        <w:rPr>
          <w:spacing w:val="-3"/>
        </w:rPr>
        <w:tab/>
        <w:t>Matthew C. Daigle</w:t>
      </w:r>
    </w:p>
    <w:p w14:paraId="7C49089F" w14:textId="77777777" w:rsidR="00376BA1" w:rsidRPr="00BD08A3" w:rsidRDefault="00376BA1" w:rsidP="00BD08A3">
      <w:pPr>
        <w:tabs>
          <w:tab w:val="left" w:pos="3960"/>
        </w:tabs>
        <w:rPr>
          <w:spacing w:val="-3"/>
        </w:rPr>
      </w:pPr>
      <w:r w:rsidRPr="00BD08A3">
        <w:rPr>
          <w:spacing w:val="-3"/>
        </w:rPr>
        <w:tab/>
      </w:r>
    </w:p>
    <w:p w14:paraId="18DCBCCA" w14:textId="77777777" w:rsidR="00376BA1" w:rsidRPr="00BD08A3" w:rsidRDefault="00376BA1" w:rsidP="00BD08A3">
      <w:pPr>
        <w:tabs>
          <w:tab w:val="left" w:pos="3960"/>
        </w:tabs>
      </w:pPr>
      <w:r w:rsidRPr="00BD08A3">
        <w:rPr>
          <w:spacing w:val="-3"/>
        </w:rPr>
        <w:tab/>
        <w:t>Attorneys for Georgia Power Company</w:t>
      </w:r>
    </w:p>
    <w:p w14:paraId="67436321" w14:textId="77777777" w:rsidR="00376BA1" w:rsidRPr="00BD08A3" w:rsidRDefault="00376BA1" w:rsidP="00BD08A3">
      <w:pPr>
        <w:keepNext/>
        <w:keepLines/>
        <w:tabs>
          <w:tab w:val="left" w:pos="-720"/>
          <w:tab w:val="left" w:pos="3960"/>
        </w:tabs>
        <w:suppressAutoHyphens/>
        <w:jc w:val="both"/>
        <w:rPr>
          <w:smallCaps/>
          <w:spacing w:val="-3"/>
        </w:rPr>
      </w:pPr>
    </w:p>
    <w:p w14:paraId="1F3EC959" w14:textId="77777777" w:rsidR="00376BA1" w:rsidRPr="00BD08A3" w:rsidRDefault="00376BA1" w:rsidP="00BD08A3">
      <w:pPr>
        <w:keepNext/>
        <w:keepLines/>
        <w:tabs>
          <w:tab w:val="left" w:pos="-720"/>
          <w:tab w:val="left" w:pos="3960"/>
        </w:tabs>
        <w:suppressAutoHyphens/>
        <w:jc w:val="both"/>
        <w:rPr>
          <w:b/>
          <w:bCs/>
          <w:smallCaps/>
          <w:spacing w:val="-3"/>
        </w:rPr>
      </w:pPr>
      <w:r w:rsidRPr="00BD08A3">
        <w:rPr>
          <w:smallCaps/>
          <w:spacing w:val="-3"/>
        </w:rPr>
        <w:tab/>
      </w:r>
      <w:r w:rsidRPr="00BD08A3">
        <w:rPr>
          <w:b/>
          <w:bCs/>
          <w:smallCaps/>
          <w:spacing w:val="-3"/>
        </w:rPr>
        <w:t>TROUTMAN PEPPER LOCKE LLP</w:t>
      </w:r>
    </w:p>
    <w:p w14:paraId="46BF2570" w14:textId="77777777" w:rsidR="00376BA1" w:rsidRPr="00BD08A3" w:rsidRDefault="00376BA1" w:rsidP="00BD08A3">
      <w:pPr>
        <w:keepNext/>
        <w:keepLines/>
        <w:tabs>
          <w:tab w:val="left" w:pos="-720"/>
          <w:tab w:val="left" w:pos="3960"/>
        </w:tabs>
        <w:suppressAutoHyphens/>
        <w:jc w:val="both"/>
        <w:rPr>
          <w:spacing w:val="-3"/>
        </w:rPr>
      </w:pPr>
      <w:r w:rsidRPr="00BD08A3">
        <w:rPr>
          <w:spacing w:val="-3"/>
        </w:rPr>
        <w:tab/>
        <w:t xml:space="preserve">Bank of </w:t>
      </w:r>
      <w:smartTag w:uri="urn:schemas-microsoft-com:office:smarttags" w:element="place">
        <w:smartTag w:uri="urn:schemas-microsoft-com:office:smarttags" w:element="PlaceName">
          <w:r w:rsidRPr="00BD08A3">
            <w:rPr>
              <w:spacing w:val="-3"/>
            </w:rPr>
            <w:t>America</w:t>
          </w:r>
        </w:smartTag>
        <w:r w:rsidRPr="00BD08A3">
          <w:rPr>
            <w:spacing w:val="-3"/>
          </w:rPr>
          <w:t xml:space="preserve"> </w:t>
        </w:r>
        <w:smartTag w:uri="urn:schemas-microsoft-com:office:smarttags" w:element="PlaceType">
          <w:r w:rsidRPr="00BD08A3">
            <w:rPr>
              <w:spacing w:val="-3"/>
            </w:rPr>
            <w:t>Plaza</w:t>
          </w:r>
        </w:smartTag>
      </w:smartTag>
    </w:p>
    <w:p w14:paraId="2E0C05D1" w14:textId="77777777" w:rsidR="00376BA1" w:rsidRPr="00BD08A3" w:rsidRDefault="00376BA1" w:rsidP="00BD08A3">
      <w:pPr>
        <w:keepNext/>
        <w:keepLines/>
        <w:tabs>
          <w:tab w:val="left" w:pos="-720"/>
          <w:tab w:val="left" w:pos="3960"/>
        </w:tabs>
        <w:suppressAutoHyphens/>
        <w:jc w:val="both"/>
        <w:rPr>
          <w:spacing w:val="-3"/>
        </w:rPr>
      </w:pPr>
      <w:r w:rsidRPr="00BD08A3">
        <w:rPr>
          <w:spacing w:val="-3"/>
        </w:rPr>
        <w:tab/>
        <w:t>600 Peachtree Street, N.E., Suite 3600</w:t>
      </w:r>
    </w:p>
    <w:p w14:paraId="1E47EB62" w14:textId="77777777" w:rsidR="00376BA1" w:rsidRPr="00BD08A3" w:rsidRDefault="00376BA1" w:rsidP="00BD08A3">
      <w:pPr>
        <w:keepNext/>
        <w:keepLines/>
        <w:tabs>
          <w:tab w:val="left" w:pos="-720"/>
          <w:tab w:val="left" w:pos="3960"/>
        </w:tabs>
        <w:suppressAutoHyphens/>
        <w:jc w:val="both"/>
        <w:rPr>
          <w:spacing w:val="-3"/>
        </w:rPr>
      </w:pPr>
      <w:r w:rsidRPr="00BD08A3">
        <w:rPr>
          <w:spacing w:val="-3"/>
        </w:rPr>
        <w:tab/>
        <w:t>Atlanta, Georgia 30308-2216</w:t>
      </w:r>
    </w:p>
    <w:p w14:paraId="481DDAE1" w14:textId="77777777" w:rsidR="00376BA1" w:rsidRPr="003869A7" w:rsidRDefault="00376BA1" w:rsidP="00BD08A3">
      <w:pPr>
        <w:keepNext/>
        <w:keepLines/>
        <w:tabs>
          <w:tab w:val="left" w:pos="-720"/>
          <w:tab w:val="left" w:pos="3960"/>
        </w:tabs>
        <w:suppressAutoHyphens/>
        <w:jc w:val="both"/>
      </w:pPr>
      <w:r w:rsidRPr="00BD08A3">
        <w:rPr>
          <w:spacing w:val="-3"/>
        </w:rPr>
        <w:tab/>
        <w:t>(404) 885-3000</w:t>
      </w:r>
    </w:p>
    <w:p w14:paraId="3C62C022" w14:textId="77777777" w:rsidR="00376BA1" w:rsidRPr="005E086B" w:rsidRDefault="00376BA1" w:rsidP="00BD08A3">
      <w:pPr>
        <w:spacing w:line="480" w:lineRule="auto"/>
      </w:pPr>
    </w:p>
    <w:p w14:paraId="4993D215" w14:textId="77777777" w:rsidR="00376BA1" w:rsidRPr="003869A7" w:rsidRDefault="00376BA1" w:rsidP="00E450B7"/>
    <w:sectPr w:rsidR="00376BA1" w:rsidRPr="003869A7" w:rsidSect="00376BA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0E30D" w14:textId="77777777" w:rsidR="004078E6" w:rsidRDefault="004078E6" w:rsidP="00376BA1">
      <w:r>
        <w:separator/>
      </w:r>
    </w:p>
  </w:endnote>
  <w:endnote w:type="continuationSeparator" w:id="0">
    <w:p w14:paraId="0C920BCA" w14:textId="77777777" w:rsidR="004078E6" w:rsidRDefault="004078E6" w:rsidP="00376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1BB38" w14:textId="77777777" w:rsidR="009115C1" w:rsidRDefault="009115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656A3" w14:textId="77777777" w:rsidR="00BD08A3" w:rsidRDefault="00BD08A3" w:rsidP="00BD08A3">
    <w:pPr>
      <w:pStyle w:val="Footer"/>
      <w:jc w:val="center"/>
      <w:rPr>
        <w:sz w:val="18"/>
        <w:szCs w:val="18"/>
      </w:rPr>
    </w:pPr>
    <w:r w:rsidRPr="00BD08A3">
      <w:rPr>
        <w:sz w:val="18"/>
        <w:szCs w:val="18"/>
      </w:rPr>
      <w:t>Georgia Power Company</w:t>
    </w:r>
    <w:r w:rsidR="009E3778">
      <w:rPr>
        <w:sz w:val="18"/>
        <w:szCs w:val="18"/>
      </w:rPr>
      <w:t>’</w:t>
    </w:r>
    <w:r w:rsidRPr="00BD08A3">
      <w:rPr>
        <w:sz w:val="18"/>
        <w:szCs w:val="18"/>
      </w:rPr>
      <w:t>s Objection</w:t>
    </w:r>
    <w:r w:rsidR="0061241E">
      <w:rPr>
        <w:sz w:val="18"/>
        <w:szCs w:val="18"/>
      </w:rPr>
      <w:t>s</w:t>
    </w:r>
    <w:r w:rsidRPr="00BD08A3">
      <w:rPr>
        <w:sz w:val="18"/>
        <w:szCs w:val="18"/>
      </w:rPr>
      <w:t xml:space="preserve"> to Petitioner</w:t>
    </w:r>
    <w:r w:rsidR="009E3778">
      <w:rPr>
        <w:sz w:val="18"/>
        <w:szCs w:val="18"/>
      </w:rPr>
      <w:t>’</w:t>
    </w:r>
    <w:r w:rsidRPr="00BD08A3">
      <w:rPr>
        <w:sz w:val="18"/>
        <w:szCs w:val="18"/>
      </w:rPr>
      <w:t xml:space="preserve">s Motion for Leave to File Supplemental </w:t>
    </w:r>
    <w:proofErr w:type="spellStart"/>
    <w:r w:rsidRPr="00BD08A3">
      <w:rPr>
        <w:sz w:val="18"/>
        <w:szCs w:val="18"/>
      </w:rPr>
      <w:t>Prefiled</w:t>
    </w:r>
    <w:proofErr w:type="spellEnd"/>
    <w:r w:rsidRPr="00BD08A3">
      <w:rPr>
        <w:sz w:val="18"/>
        <w:szCs w:val="18"/>
      </w:rPr>
      <w:t xml:space="preserve"> Direct Testimony</w:t>
    </w:r>
  </w:p>
  <w:p w14:paraId="62967D7C" w14:textId="77777777" w:rsidR="00BD08A3" w:rsidRDefault="00BD08A3" w:rsidP="00BD08A3">
    <w:pPr>
      <w:pStyle w:val="Footer"/>
      <w:jc w:val="center"/>
      <w:rPr>
        <w:sz w:val="18"/>
        <w:szCs w:val="18"/>
      </w:rPr>
    </w:pPr>
    <w:r>
      <w:rPr>
        <w:sz w:val="18"/>
        <w:szCs w:val="18"/>
      </w:rPr>
      <w:t>Docket No. 55973, Petition of City of Cartersville v. Georgia Power Company</w:t>
    </w:r>
  </w:p>
  <w:p w14:paraId="3708F8AE" w14:textId="77777777" w:rsidR="00BA32E4" w:rsidRDefault="00BD08A3" w:rsidP="00BD08A3">
    <w:pPr>
      <w:pStyle w:val="Footer"/>
      <w:jc w:val="center"/>
      <w:rPr>
        <w:noProof/>
        <w:sz w:val="18"/>
        <w:szCs w:val="18"/>
      </w:rPr>
    </w:pPr>
    <w:r>
      <w:rPr>
        <w:sz w:val="18"/>
        <w:szCs w:val="18"/>
      </w:rPr>
      <w:t xml:space="preserve">Page </w:t>
    </w:r>
    <w:r w:rsidR="009B1CA8" w:rsidRPr="009B1CA8">
      <w:rPr>
        <w:sz w:val="18"/>
        <w:szCs w:val="18"/>
      </w:rPr>
      <w:fldChar w:fldCharType="begin"/>
    </w:r>
    <w:r w:rsidR="009B1CA8" w:rsidRPr="009B1CA8">
      <w:rPr>
        <w:sz w:val="18"/>
        <w:szCs w:val="18"/>
      </w:rPr>
      <w:instrText xml:space="preserve"> PAGE   \* MERGEFORMAT </w:instrText>
    </w:r>
    <w:r w:rsidR="009B1CA8" w:rsidRPr="009B1CA8">
      <w:rPr>
        <w:sz w:val="18"/>
        <w:szCs w:val="18"/>
      </w:rPr>
      <w:fldChar w:fldCharType="separate"/>
    </w:r>
    <w:r w:rsidR="009B1CA8" w:rsidRPr="009B1CA8">
      <w:rPr>
        <w:noProof/>
        <w:sz w:val="18"/>
        <w:szCs w:val="18"/>
      </w:rPr>
      <w:t>1</w:t>
    </w:r>
    <w:r w:rsidR="009B1CA8" w:rsidRPr="009B1CA8">
      <w:rPr>
        <w:noProof/>
        <w:sz w:val="18"/>
        <w:szCs w:val="18"/>
      </w:rPr>
      <w:fldChar w:fldCharType="end"/>
    </w:r>
    <w:r w:rsidR="009B1CA8">
      <w:rPr>
        <w:noProof/>
        <w:sz w:val="18"/>
        <w:szCs w:val="18"/>
      </w:rPr>
      <w:t xml:space="preserve"> of </w:t>
    </w:r>
    <w:r w:rsidR="008877E4">
      <w:rPr>
        <w:noProof/>
        <w:sz w:val="18"/>
        <w:szCs w:val="18"/>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020A7" w14:textId="77777777" w:rsidR="009115C1" w:rsidRDefault="00911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9CDC5" w14:textId="77777777" w:rsidR="004078E6" w:rsidRDefault="004078E6" w:rsidP="00376BA1">
      <w:r>
        <w:separator/>
      </w:r>
    </w:p>
  </w:footnote>
  <w:footnote w:type="continuationSeparator" w:id="0">
    <w:p w14:paraId="7ACD6B59" w14:textId="77777777" w:rsidR="004078E6" w:rsidRDefault="004078E6" w:rsidP="00376BA1">
      <w:r>
        <w:continuationSeparator/>
      </w:r>
    </w:p>
  </w:footnote>
  <w:footnote w:id="1">
    <w:p w14:paraId="382C442A" w14:textId="3909A0BC" w:rsidR="00376BA1" w:rsidRDefault="00376BA1" w:rsidP="00611D7B">
      <w:pPr>
        <w:pStyle w:val="FootnoteText"/>
        <w:spacing w:after="120"/>
        <w:ind w:firstLine="0"/>
      </w:pPr>
      <w:r>
        <w:rPr>
          <w:rStyle w:val="FootnoteReference"/>
        </w:rPr>
        <w:footnoteRef/>
      </w:r>
      <w:r>
        <w:t xml:space="preserve"> </w:t>
      </w:r>
      <w:bookmarkStart w:id="0" w:name="_Hlk208326715"/>
      <w:r w:rsidRPr="006A4521">
        <w:rPr>
          <w:i/>
          <w:iCs/>
        </w:rPr>
        <w:t>Okefenokee Rural EMC v. Georgia Power Company</w:t>
      </w:r>
      <w:r w:rsidRPr="006A4521">
        <w:t xml:space="preserve">, </w:t>
      </w:r>
      <w:r>
        <w:t>Docket No. 3870-U</w:t>
      </w:r>
      <w:r w:rsidR="00891BA9">
        <w:t xml:space="preserve"> at *7</w:t>
      </w:r>
      <w:r>
        <w:t xml:space="preserve"> (Initial Decision Jan. 4, 1990) </w:t>
      </w:r>
      <w:bookmarkEnd w:id="0"/>
      <w:r>
        <w:t xml:space="preserve">(quoting </w:t>
      </w:r>
      <w:r w:rsidRPr="006A4521">
        <w:rPr>
          <w:i/>
          <w:iCs/>
        </w:rPr>
        <w:t xml:space="preserve">Douglas County Electric Membership </w:t>
      </w:r>
      <w:r w:rsidR="00891BA9" w:rsidRPr="006A4521">
        <w:rPr>
          <w:i/>
          <w:iCs/>
        </w:rPr>
        <w:t>Corp</w:t>
      </w:r>
      <w:r w:rsidR="00891BA9">
        <w:rPr>
          <w:i/>
          <w:iCs/>
        </w:rPr>
        <w:t>.</w:t>
      </w:r>
      <w:r w:rsidR="00891BA9" w:rsidRPr="006A4521">
        <w:rPr>
          <w:i/>
          <w:iCs/>
        </w:rPr>
        <w:t xml:space="preserve"> </w:t>
      </w:r>
      <w:r w:rsidRPr="006A4521">
        <w:rPr>
          <w:i/>
          <w:iCs/>
        </w:rPr>
        <w:t>v. Georgia Power Company</w:t>
      </w:r>
      <w:r w:rsidRPr="006A4521">
        <w:t>, Docket No. 3686-U (Initial Decision June 8, 1988)</w:t>
      </w:r>
      <w:r>
        <w:t>).</w:t>
      </w:r>
    </w:p>
  </w:footnote>
  <w:footnote w:id="2">
    <w:p w14:paraId="153FD38E" w14:textId="77777777" w:rsidR="00376BA1" w:rsidRDefault="00376BA1" w:rsidP="00611D7B">
      <w:pPr>
        <w:pStyle w:val="FootnoteText"/>
        <w:spacing w:after="120"/>
        <w:ind w:firstLine="0"/>
      </w:pPr>
      <w:r>
        <w:rPr>
          <w:rStyle w:val="FootnoteReference"/>
        </w:rPr>
        <w:footnoteRef/>
      </w:r>
      <w:r>
        <w:t xml:space="preserve"> O.C.G.A. § 46-3-3(6) (defining “Premises” as “</w:t>
      </w:r>
      <w:r w:rsidRPr="00C93D34">
        <w:t xml:space="preserve">the </w:t>
      </w:r>
      <w:r w:rsidRPr="00C93D34">
        <w:rPr>
          <w:i/>
          <w:iCs/>
        </w:rPr>
        <w:t>building</w:t>
      </w:r>
      <w:r w:rsidRPr="00C93D34">
        <w:t xml:space="preserve">, </w:t>
      </w:r>
      <w:r w:rsidRPr="00C93D34">
        <w:rPr>
          <w:i/>
          <w:iCs/>
        </w:rPr>
        <w:t>structure</w:t>
      </w:r>
      <w:r w:rsidRPr="00C93D34">
        <w:t xml:space="preserve">, or </w:t>
      </w:r>
      <w:r w:rsidRPr="00C93D34">
        <w:rPr>
          <w:i/>
          <w:iCs/>
        </w:rPr>
        <w:t>facility</w:t>
      </w:r>
      <w:r w:rsidRPr="00C93D34">
        <w:t xml:space="preserve"> to which electricity is being or is to be furnished</w:t>
      </w:r>
      <w:r>
        <w:t>”) (emphasis added).</w:t>
      </w:r>
    </w:p>
  </w:footnote>
  <w:footnote w:id="3">
    <w:p w14:paraId="4CA3AF53" w14:textId="77777777" w:rsidR="00376BA1" w:rsidRDefault="00376BA1" w:rsidP="00611D7B">
      <w:pPr>
        <w:pStyle w:val="FootnoteText"/>
        <w:spacing w:after="120"/>
        <w:ind w:firstLine="0"/>
      </w:pPr>
      <w:r w:rsidRPr="00650C2F">
        <w:rPr>
          <w:rStyle w:val="FootnoteReference"/>
        </w:rPr>
        <w:footnoteRef/>
      </w:r>
      <w:r w:rsidRPr="00650C2F">
        <w:t xml:space="preserve"> O.</w:t>
      </w:r>
      <w:r>
        <w:t>C.G.A. § 46-3-8(b).</w:t>
      </w:r>
    </w:p>
  </w:footnote>
  <w:footnote w:id="4">
    <w:p w14:paraId="57608381" w14:textId="3A2AC488" w:rsidR="009930B5" w:rsidRDefault="009930B5" w:rsidP="00611D7B">
      <w:pPr>
        <w:pStyle w:val="FootnoteText"/>
        <w:spacing w:after="120"/>
        <w:ind w:firstLine="0"/>
      </w:pPr>
      <w:r>
        <w:rPr>
          <w:rStyle w:val="FootnoteReference"/>
        </w:rPr>
        <w:footnoteRef/>
      </w:r>
      <w:r>
        <w:t xml:space="preserve"> </w:t>
      </w:r>
      <w:r w:rsidRPr="00611D7B">
        <w:rPr>
          <w:i/>
          <w:iCs/>
        </w:rPr>
        <w:t>See</w:t>
      </w:r>
      <w:r>
        <w:t xml:space="preserve"> </w:t>
      </w:r>
      <w:r w:rsidRPr="006A4521">
        <w:rPr>
          <w:i/>
          <w:iCs/>
        </w:rPr>
        <w:t>Douglas County Electric Membership Corp</w:t>
      </w:r>
      <w:r>
        <w:rPr>
          <w:i/>
          <w:iCs/>
        </w:rPr>
        <w:t>.</w:t>
      </w:r>
      <w:r>
        <w:t xml:space="preserve"> at p. 9, fn. 1 (explaining that the </w:t>
      </w:r>
      <w:r w:rsidR="002973D1">
        <w:t xml:space="preserve">adopted </w:t>
      </w:r>
      <w:r>
        <w:t>definition of initial full operation</w:t>
      </w:r>
      <w:r w:rsidR="002973D1">
        <w:t xml:space="preserve"> of the premises</w:t>
      </w:r>
      <w:r>
        <w:t xml:space="preserve"> “should not be construed to mean that if a consumer has plans for future growth, or hopes to </w:t>
      </w:r>
      <w:r w:rsidR="002973D1">
        <w:t>expand</w:t>
      </w:r>
      <w:r>
        <w:t xml:space="preserve"> its facilities in the future such that the expanded facilities would result in a connected load of 900kw o</w:t>
      </w:r>
      <w:r w:rsidR="002973D1">
        <w:t>r</w:t>
      </w:r>
      <w:r>
        <w:t xml:space="preserve"> greater, that the facility would qualify under the exception set forth in O.C.G.A. Section 46-3-8(a)</w:t>
      </w:r>
      <w:r w:rsidR="002973D1">
        <w:t>.”).</w:t>
      </w:r>
    </w:p>
  </w:footnote>
  <w:footnote w:id="5">
    <w:p w14:paraId="3E89DA98" w14:textId="77777777" w:rsidR="00376BA1" w:rsidRDefault="00376BA1" w:rsidP="00611D7B">
      <w:pPr>
        <w:pStyle w:val="FootnoteText"/>
        <w:spacing w:after="120"/>
        <w:ind w:firstLine="0"/>
      </w:pPr>
      <w:r>
        <w:rPr>
          <w:rStyle w:val="FootnoteReference"/>
        </w:rPr>
        <w:footnoteRef/>
      </w:r>
      <w:r>
        <w:t xml:space="preserve"> </w:t>
      </w:r>
      <w:r w:rsidRPr="003A4B46">
        <w:rPr>
          <w:i/>
          <w:iCs/>
        </w:rPr>
        <w:t>Jackson Elec. Membership Corp. v. Georgia Pub. Serv. Comm</w:t>
      </w:r>
      <w:r>
        <w:rPr>
          <w:i/>
          <w:iCs/>
        </w:rPr>
        <w:t>’</w:t>
      </w:r>
      <w:r w:rsidRPr="003A4B46">
        <w:rPr>
          <w:i/>
          <w:iCs/>
        </w:rPr>
        <w:t>n</w:t>
      </w:r>
      <w:r>
        <w:t xml:space="preserve">, 294 Ga. App. 253, 260 (2008); </w:t>
      </w:r>
      <w:r w:rsidRPr="009A64C3">
        <w:rPr>
          <w:i/>
          <w:iCs/>
        </w:rPr>
        <w:t>see</w:t>
      </w:r>
      <w:r>
        <w:t xml:space="preserve"> O.C.G.A. § 24-4-401.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011BF" w14:textId="77777777" w:rsidR="009115C1" w:rsidRDefault="009115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54F61" w14:textId="77777777" w:rsidR="009115C1" w:rsidRDefault="009115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686E1" w14:textId="77777777" w:rsidR="009115C1" w:rsidRDefault="009115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AC90A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AF42BC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EDABF6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2ACD0C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6249F0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D6E88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DAA788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EA4F25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374C7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58C90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1897A51"/>
    <w:multiLevelType w:val="hybridMultilevel"/>
    <w:tmpl w:val="22E4D5B6"/>
    <w:lvl w:ilvl="0" w:tplc="A282EF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4C0947"/>
    <w:multiLevelType w:val="hybridMultilevel"/>
    <w:tmpl w:val="B20AD9FE"/>
    <w:lvl w:ilvl="0" w:tplc="686ECA8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FC15C00"/>
    <w:multiLevelType w:val="hybridMultilevel"/>
    <w:tmpl w:val="30881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9B70CC"/>
    <w:multiLevelType w:val="hybridMultilevel"/>
    <w:tmpl w:val="EBBE8512"/>
    <w:lvl w:ilvl="0" w:tplc="11CC041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A43A3B"/>
    <w:multiLevelType w:val="hybridMultilevel"/>
    <w:tmpl w:val="3C6A0E68"/>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5" w15:restartNumberingAfterBreak="0">
    <w:nsid w:val="323C7578"/>
    <w:multiLevelType w:val="hybridMultilevel"/>
    <w:tmpl w:val="AC502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CD0403"/>
    <w:multiLevelType w:val="hybridMultilevel"/>
    <w:tmpl w:val="0E3C9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AD189B"/>
    <w:multiLevelType w:val="hybridMultilevel"/>
    <w:tmpl w:val="19924EA2"/>
    <w:lvl w:ilvl="0" w:tplc="0B7C041C">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985FEF"/>
    <w:multiLevelType w:val="hybridMultilevel"/>
    <w:tmpl w:val="181C711A"/>
    <w:lvl w:ilvl="0" w:tplc="25908E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58211560">
    <w:abstractNumId w:val="16"/>
  </w:num>
  <w:num w:numId="2" w16cid:durableId="326907865">
    <w:abstractNumId w:val="15"/>
  </w:num>
  <w:num w:numId="3" w16cid:durableId="996111821">
    <w:abstractNumId w:val="17"/>
  </w:num>
  <w:num w:numId="4" w16cid:durableId="195314399">
    <w:abstractNumId w:val="9"/>
  </w:num>
  <w:num w:numId="5" w16cid:durableId="1243637939">
    <w:abstractNumId w:val="7"/>
  </w:num>
  <w:num w:numId="6" w16cid:durableId="799148899">
    <w:abstractNumId w:val="6"/>
  </w:num>
  <w:num w:numId="7" w16cid:durableId="1804695251">
    <w:abstractNumId w:val="5"/>
  </w:num>
  <w:num w:numId="8" w16cid:durableId="681512937">
    <w:abstractNumId w:val="4"/>
  </w:num>
  <w:num w:numId="9" w16cid:durableId="1491631689">
    <w:abstractNumId w:val="8"/>
  </w:num>
  <w:num w:numId="10" w16cid:durableId="1934851715">
    <w:abstractNumId w:val="3"/>
  </w:num>
  <w:num w:numId="11" w16cid:durableId="269431982">
    <w:abstractNumId w:val="2"/>
  </w:num>
  <w:num w:numId="12" w16cid:durableId="1522166703">
    <w:abstractNumId w:val="1"/>
  </w:num>
  <w:num w:numId="13" w16cid:durableId="410081633">
    <w:abstractNumId w:val="0"/>
  </w:num>
  <w:num w:numId="14" w16cid:durableId="526607271">
    <w:abstractNumId w:val="10"/>
  </w:num>
  <w:num w:numId="15" w16cid:durableId="756945157">
    <w:abstractNumId w:val="14"/>
  </w:num>
  <w:num w:numId="16" w16cid:durableId="629015081">
    <w:abstractNumId w:val="18"/>
  </w:num>
  <w:num w:numId="17" w16cid:durableId="2067218363">
    <w:abstractNumId w:val="12"/>
  </w:num>
  <w:num w:numId="18" w16cid:durableId="991374279">
    <w:abstractNumId w:val="11"/>
  </w:num>
  <w:num w:numId="19" w16cid:durableId="5570584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WDocIDLayout" w:val="2"/>
    <w:docVar w:name="SWDocIDLocation" w:val="1"/>
  </w:docVars>
  <w:rsids>
    <w:rsidRoot w:val="00BD08A3"/>
    <w:rsid w:val="00006655"/>
    <w:rsid w:val="00021DE1"/>
    <w:rsid w:val="00037DF8"/>
    <w:rsid w:val="00044B19"/>
    <w:rsid w:val="00045E6E"/>
    <w:rsid w:val="000460A1"/>
    <w:rsid w:val="000553FC"/>
    <w:rsid w:val="00060A24"/>
    <w:rsid w:val="00070620"/>
    <w:rsid w:val="00080991"/>
    <w:rsid w:val="000812F2"/>
    <w:rsid w:val="00094158"/>
    <w:rsid w:val="000C127A"/>
    <w:rsid w:val="000F5211"/>
    <w:rsid w:val="00105C1D"/>
    <w:rsid w:val="0010602C"/>
    <w:rsid w:val="001079CA"/>
    <w:rsid w:val="00151DD5"/>
    <w:rsid w:val="0015391C"/>
    <w:rsid w:val="00155979"/>
    <w:rsid w:val="00155E86"/>
    <w:rsid w:val="00170C48"/>
    <w:rsid w:val="00174101"/>
    <w:rsid w:val="00194E83"/>
    <w:rsid w:val="00197BA1"/>
    <w:rsid w:val="001A2B1C"/>
    <w:rsid w:val="001B61BF"/>
    <w:rsid w:val="001B7D66"/>
    <w:rsid w:val="001C15A7"/>
    <w:rsid w:val="001F3F49"/>
    <w:rsid w:val="002049F7"/>
    <w:rsid w:val="00222EEF"/>
    <w:rsid w:val="002302D8"/>
    <w:rsid w:val="00285D70"/>
    <w:rsid w:val="002973D1"/>
    <w:rsid w:val="002A2D96"/>
    <w:rsid w:val="002C58A6"/>
    <w:rsid w:val="00302F14"/>
    <w:rsid w:val="003131FD"/>
    <w:rsid w:val="00317EDC"/>
    <w:rsid w:val="00351F63"/>
    <w:rsid w:val="003745CF"/>
    <w:rsid w:val="00374C39"/>
    <w:rsid w:val="00376BA1"/>
    <w:rsid w:val="003869A7"/>
    <w:rsid w:val="003A2D23"/>
    <w:rsid w:val="003A4B46"/>
    <w:rsid w:val="003B1A9E"/>
    <w:rsid w:val="003C7F3A"/>
    <w:rsid w:val="004078E6"/>
    <w:rsid w:val="00422A6F"/>
    <w:rsid w:val="00422FB5"/>
    <w:rsid w:val="004330DB"/>
    <w:rsid w:val="00456270"/>
    <w:rsid w:val="00470840"/>
    <w:rsid w:val="0049134C"/>
    <w:rsid w:val="004A3DBE"/>
    <w:rsid w:val="004A6287"/>
    <w:rsid w:val="004C41A6"/>
    <w:rsid w:val="004D3DF3"/>
    <w:rsid w:val="004D4F65"/>
    <w:rsid w:val="004D7807"/>
    <w:rsid w:val="005123B8"/>
    <w:rsid w:val="00512788"/>
    <w:rsid w:val="00533694"/>
    <w:rsid w:val="00537419"/>
    <w:rsid w:val="0056394E"/>
    <w:rsid w:val="005678A2"/>
    <w:rsid w:val="005940B1"/>
    <w:rsid w:val="005A0067"/>
    <w:rsid w:val="005A1E09"/>
    <w:rsid w:val="005D0C81"/>
    <w:rsid w:val="005D515F"/>
    <w:rsid w:val="005E7902"/>
    <w:rsid w:val="005F6F16"/>
    <w:rsid w:val="00611D7B"/>
    <w:rsid w:val="0061241E"/>
    <w:rsid w:val="006358D1"/>
    <w:rsid w:val="00650C2F"/>
    <w:rsid w:val="0065638A"/>
    <w:rsid w:val="0066381F"/>
    <w:rsid w:val="00667843"/>
    <w:rsid w:val="0068040E"/>
    <w:rsid w:val="006833B7"/>
    <w:rsid w:val="006A4521"/>
    <w:rsid w:val="006C7D34"/>
    <w:rsid w:val="006D6CE7"/>
    <w:rsid w:val="006E3B41"/>
    <w:rsid w:val="006E4744"/>
    <w:rsid w:val="006E6056"/>
    <w:rsid w:val="00701E89"/>
    <w:rsid w:val="00705DCD"/>
    <w:rsid w:val="00710569"/>
    <w:rsid w:val="0071203D"/>
    <w:rsid w:val="00714EC0"/>
    <w:rsid w:val="007151D0"/>
    <w:rsid w:val="00726006"/>
    <w:rsid w:val="00730362"/>
    <w:rsid w:val="00737A38"/>
    <w:rsid w:val="00746899"/>
    <w:rsid w:val="00746A5B"/>
    <w:rsid w:val="00756F3D"/>
    <w:rsid w:val="007634A2"/>
    <w:rsid w:val="0076404C"/>
    <w:rsid w:val="00771CB3"/>
    <w:rsid w:val="00784AAC"/>
    <w:rsid w:val="007901D2"/>
    <w:rsid w:val="00795F73"/>
    <w:rsid w:val="00796F12"/>
    <w:rsid w:val="00797274"/>
    <w:rsid w:val="007A2F1C"/>
    <w:rsid w:val="007B22FC"/>
    <w:rsid w:val="007B772D"/>
    <w:rsid w:val="007D1143"/>
    <w:rsid w:val="007D17D2"/>
    <w:rsid w:val="007D4108"/>
    <w:rsid w:val="0082206B"/>
    <w:rsid w:val="00842D6D"/>
    <w:rsid w:val="00863066"/>
    <w:rsid w:val="008747BF"/>
    <w:rsid w:val="008877E4"/>
    <w:rsid w:val="00891BA9"/>
    <w:rsid w:val="008A1CB9"/>
    <w:rsid w:val="008B01B7"/>
    <w:rsid w:val="008C0F23"/>
    <w:rsid w:val="008C129E"/>
    <w:rsid w:val="008C5028"/>
    <w:rsid w:val="008C5E30"/>
    <w:rsid w:val="00910856"/>
    <w:rsid w:val="009115C1"/>
    <w:rsid w:val="0094628D"/>
    <w:rsid w:val="00962583"/>
    <w:rsid w:val="00967109"/>
    <w:rsid w:val="00980F8B"/>
    <w:rsid w:val="009930B5"/>
    <w:rsid w:val="009A1962"/>
    <w:rsid w:val="009A26BB"/>
    <w:rsid w:val="009A64C3"/>
    <w:rsid w:val="009B1CA8"/>
    <w:rsid w:val="009C1312"/>
    <w:rsid w:val="009E3778"/>
    <w:rsid w:val="00A17834"/>
    <w:rsid w:val="00A26DF8"/>
    <w:rsid w:val="00A40407"/>
    <w:rsid w:val="00A42C44"/>
    <w:rsid w:val="00A4501E"/>
    <w:rsid w:val="00A54ACC"/>
    <w:rsid w:val="00A619AE"/>
    <w:rsid w:val="00A82C1E"/>
    <w:rsid w:val="00AA53FF"/>
    <w:rsid w:val="00AF560E"/>
    <w:rsid w:val="00B07CD5"/>
    <w:rsid w:val="00B11EE0"/>
    <w:rsid w:val="00B306F8"/>
    <w:rsid w:val="00B36965"/>
    <w:rsid w:val="00B441D1"/>
    <w:rsid w:val="00B477F9"/>
    <w:rsid w:val="00B608EB"/>
    <w:rsid w:val="00B61880"/>
    <w:rsid w:val="00BA32E4"/>
    <w:rsid w:val="00BB536C"/>
    <w:rsid w:val="00BC36B6"/>
    <w:rsid w:val="00BD08A3"/>
    <w:rsid w:val="00BF3449"/>
    <w:rsid w:val="00C106D2"/>
    <w:rsid w:val="00C15BD0"/>
    <w:rsid w:val="00C27D4C"/>
    <w:rsid w:val="00C3014A"/>
    <w:rsid w:val="00C34044"/>
    <w:rsid w:val="00C65622"/>
    <w:rsid w:val="00C74431"/>
    <w:rsid w:val="00C84813"/>
    <w:rsid w:val="00C9261E"/>
    <w:rsid w:val="00C93D34"/>
    <w:rsid w:val="00CA37CE"/>
    <w:rsid w:val="00CA4332"/>
    <w:rsid w:val="00CA4ED3"/>
    <w:rsid w:val="00CB7E21"/>
    <w:rsid w:val="00CF3625"/>
    <w:rsid w:val="00D04677"/>
    <w:rsid w:val="00D41C9B"/>
    <w:rsid w:val="00D63C5A"/>
    <w:rsid w:val="00D6476E"/>
    <w:rsid w:val="00D65E33"/>
    <w:rsid w:val="00D65ECA"/>
    <w:rsid w:val="00D72DAC"/>
    <w:rsid w:val="00D91003"/>
    <w:rsid w:val="00D92279"/>
    <w:rsid w:val="00D924A1"/>
    <w:rsid w:val="00DA66E3"/>
    <w:rsid w:val="00DB5BFF"/>
    <w:rsid w:val="00E0077F"/>
    <w:rsid w:val="00E03163"/>
    <w:rsid w:val="00E067AA"/>
    <w:rsid w:val="00E114AC"/>
    <w:rsid w:val="00E413CC"/>
    <w:rsid w:val="00E450B7"/>
    <w:rsid w:val="00E53128"/>
    <w:rsid w:val="00E560EF"/>
    <w:rsid w:val="00E652AF"/>
    <w:rsid w:val="00EC3D8D"/>
    <w:rsid w:val="00EE4877"/>
    <w:rsid w:val="00EE6CA0"/>
    <w:rsid w:val="00F01FD5"/>
    <w:rsid w:val="00F20CF6"/>
    <w:rsid w:val="00F22F09"/>
    <w:rsid w:val="00F36307"/>
    <w:rsid w:val="00F41A59"/>
    <w:rsid w:val="00F424DC"/>
    <w:rsid w:val="00F56108"/>
    <w:rsid w:val="00F77E2D"/>
    <w:rsid w:val="00F82C79"/>
    <w:rsid w:val="00F85CEB"/>
    <w:rsid w:val="00F87AD8"/>
    <w:rsid w:val="00FB349D"/>
    <w:rsid w:val="00FB7E48"/>
    <w:rsid w:val="00FC0CE4"/>
    <w:rsid w:val="00FC12F2"/>
    <w:rsid w:val="00FC3BA8"/>
    <w:rsid w:val="00FC7FCD"/>
    <w:rsid w:val="00FD3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5"/>
    <o:shapelayout v:ext="edit">
      <o:idmap v:ext="edit" data="1"/>
    </o:shapelayout>
  </w:shapeDefaults>
  <w:decimalSymbol w:val="."/>
  <w:listSeparator w:val=","/>
  <w14:docId w14:val="7C0E93F2"/>
  <w15:chartTrackingRefBased/>
  <w15:docId w15:val="{EF5C3177-6896-4110-A79F-7169CDAB5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8A3"/>
    <w:rPr>
      <w:rFonts w:ascii="Times New Roman" w:eastAsia="Times New Roman" w:hAnsi="Times New Roman" w:cs="Times New Roman"/>
    </w:rPr>
  </w:style>
  <w:style w:type="paragraph" w:styleId="Heading1">
    <w:name w:val="heading 1"/>
    <w:basedOn w:val="Normal"/>
    <w:next w:val="Normal"/>
    <w:link w:val="Heading1Char"/>
    <w:uiPriority w:val="9"/>
    <w:qFormat/>
    <w:rsid w:val="00667843"/>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uiPriority w:val="9"/>
    <w:semiHidden/>
    <w:unhideWhenUsed/>
    <w:qFormat/>
    <w:rsid w:val="00667843"/>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uiPriority w:val="9"/>
    <w:semiHidden/>
    <w:unhideWhenUsed/>
    <w:qFormat/>
    <w:rsid w:val="00667843"/>
    <w:pPr>
      <w:keepNext/>
      <w:keepLines/>
      <w:spacing w:before="40"/>
      <w:outlineLvl w:val="2"/>
    </w:pPr>
    <w:rPr>
      <w:rFonts w:asciiTheme="majorHAnsi" w:eastAsiaTheme="majorEastAsia" w:hAnsiTheme="majorHAnsi" w:cstheme="majorBidi"/>
      <w:color w:val="0A2F40" w:themeColor="accent1" w:themeShade="7F"/>
    </w:rPr>
  </w:style>
  <w:style w:type="paragraph" w:styleId="Heading4">
    <w:name w:val="heading 4"/>
    <w:basedOn w:val="Normal"/>
    <w:next w:val="Normal"/>
    <w:link w:val="Heading4Char"/>
    <w:uiPriority w:val="9"/>
    <w:semiHidden/>
    <w:unhideWhenUsed/>
    <w:qFormat/>
    <w:rsid w:val="00667843"/>
    <w:pPr>
      <w:keepNext/>
      <w:keepLines/>
      <w:spacing w:before="40"/>
      <w:outlineLvl w:val="3"/>
    </w:pPr>
    <w:rPr>
      <w:rFonts w:asciiTheme="majorHAnsi" w:eastAsiaTheme="majorEastAsia" w:hAnsiTheme="maj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67843"/>
    <w:pPr>
      <w:keepNext/>
      <w:keepLines/>
      <w:spacing w:before="4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667843"/>
    <w:pPr>
      <w:keepNext/>
      <w:keepLines/>
      <w:spacing w:before="4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667843"/>
    <w:pPr>
      <w:keepNext/>
      <w:keepLines/>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66784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784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qFormat/>
    <w:rsid w:val="003A2D23"/>
    <w:pPr>
      <w:spacing w:after="240"/>
      <w:ind w:left="1440" w:right="1440"/>
    </w:pPr>
    <w:rPr>
      <w:rFonts w:eastAsia="Calibri"/>
    </w:rPr>
  </w:style>
  <w:style w:type="paragraph" w:styleId="BodyText">
    <w:name w:val="Body Text"/>
    <w:basedOn w:val="Normal"/>
    <w:link w:val="BodyTextChar"/>
    <w:uiPriority w:val="1"/>
    <w:qFormat/>
    <w:rsid w:val="003A2D23"/>
    <w:pPr>
      <w:spacing w:after="240"/>
    </w:pPr>
    <w:rPr>
      <w:rFonts w:eastAsia="Calibri"/>
      <w:szCs w:val="20"/>
    </w:rPr>
  </w:style>
  <w:style w:type="character" w:customStyle="1" w:styleId="BodyTextChar">
    <w:name w:val="Body Text Char"/>
    <w:basedOn w:val="DefaultParagraphFont"/>
    <w:link w:val="BodyText"/>
    <w:uiPriority w:val="1"/>
    <w:rsid w:val="003A2D23"/>
    <w:rPr>
      <w:rFonts w:ascii="Times New Roman" w:eastAsia="Calibri" w:hAnsi="Times New Roman" w:cs="Times New Roman"/>
      <w:szCs w:val="20"/>
    </w:rPr>
  </w:style>
  <w:style w:type="paragraph" w:customStyle="1" w:styleId="BodyTextFirstIndent10">
    <w:name w:val="Body Text First Indent (1.0)"/>
    <w:basedOn w:val="Normal"/>
    <w:qFormat/>
    <w:rsid w:val="0066381F"/>
    <w:pPr>
      <w:spacing w:after="240"/>
      <w:ind w:firstLine="1440"/>
    </w:pPr>
    <w:rPr>
      <w:rFonts w:cs="Arial"/>
      <w:szCs w:val="22"/>
    </w:rPr>
  </w:style>
  <w:style w:type="paragraph" w:styleId="ListParagraph">
    <w:name w:val="List Paragraph"/>
    <w:basedOn w:val="Normal"/>
    <w:uiPriority w:val="34"/>
    <w:qFormat/>
    <w:rsid w:val="00470840"/>
    <w:pPr>
      <w:ind w:left="720"/>
      <w:contextualSpacing/>
    </w:pPr>
  </w:style>
  <w:style w:type="paragraph" w:customStyle="1" w:styleId="BodyTextFirstIndentds">
    <w:name w:val="Body Text First Indent ds"/>
    <w:basedOn w:val="Normal"/>
    <w:qFormat/>
    <w:rsid w:val="00C106D2"/>
    <w:pPr>
      <w:spacing w:line="480" w:lineRule="auto"/>
      <w:ind w:firstLine="720"/>
    </w:pPr>
    <w:rPr>
      <w:rFonts w:cs="Arial"/>
      <w:szCs w:val="22"/>
    </w:rPr>
  </w:style>
  <w:style w:type="paragraph" w:customStyle="1" w:styleId="BodyTextFirstIndent15">
    <w:name w:val="Body Text First Indent (1.5)"/>
    <w:basedOn w:val="Normal"/>
    <w:qFormat/>
    <w:rsid w:val="0066381F"/>
    <w:pPr>
      <w:spacing w:after="240"/>
      <w:ind w:firstLine="2160"/>
    </w:pPr>
  </w:style>
  <w:style w:type="paragraph" w:styleId="BodyTextFirstIndent">
    <w:name w:val="Body Text First Indent"/>
    <w:basedOn w:val="Normal"/>
    <w:link w:val="BodyTextFirstIndentChar"/>
    <w:qFormat/>
    <w:rsid w:val="00FC0CE4"/>
    <w:pPr>
      <w:spacing w:after="240"/>
      <w:ind w:firstLine="720"/>
    </w:pPr>
    <w:rPr>
      <w:rFonts w:eastAsia="Calibri"/>
      <w:szCs w:val="20"/>
    </w:rPr>
  </w:style>
  <w:style w:type="character" w:customStyle="1" w:styleId="BodyTextFirstIndentChar">
    <w:name w:val="Body Text First Indent Char"/>
    <w:basedOn w:val="BodyTextChar"/>
    <w:link w:val="BodyTextFirstIndent"/>
    <w:rsid w:val="00FC0CE4"/>
    <w:rPr>
      <w:rFonts w:ascii="Times New Roman" w:eastAsia="Calibri" w:hAnsi="Times New Roman" w:cs="Times New Roman"/>
      <w:szCs w:val="20"/>
    </w:rPr>
  </w:style>
  <w:style w:type="paragraph" w:customStyle="1" w:styleId="BodyTextds">
    <w:name w:val="Body Text ds"/>
    <w:basedOn w:val="Normal"/>
    <w:qFormat/>
    <w:rsid w:val="00CB7E21"/>
    <w:pPr>
      <w:spacing w:line="480" w:lineRule="auto"/>
    </w:pPr>
  </w:style>
  <w:style w:type="paragraph" w:styleId="BodyTextIndent">
    <w:name w:val="Body Text Indent"/>
    <w:basedOn w:val="Normal"/>
    <w:link w:val="BodyTextIndentChar"/>
    <w:rsid w:val="00967109"/>
    <w:pPr>
      <w:spacing w:after="240"/>
      <w:ind w:left="720"/>
    </w:pPr>
    <w:rPr>
      <w:rFonts w:eastAsia="Calibri"/>
    </w:rPr>
  </w:style>
  <w:style w:type="character" w:customStyle="1" w:styleId="BodyTextIndentChar">
    <w:name w:val="Body Text Indent Char"/>
    <w:basedOn w:val="DefaultParagraphFont"/>
    <w:link w:val="BodyTextIndent"/>
    <w:rsid w:val="00967109"/>
    <w:rPr>
      <w:rFonts w:ascii="Times New Roman" w:eastAsia="Calibri" w:hAnsi="Times New Roman" w:cs="Times New Roman"/>
    </w:rPr>
  </w:style>
  <w:style w:type="paragraph" w:customStyle="1" w:styleId="BodyTextHangingIndent">
    <w:name w:val="Body Text Hanging Indent"/>
    <w:basedOn w:val="Normal"/>
    <w:qFormat/>
    <w:rsid w:val="003A2D23"/>
    <w:pPr>
      <w:spacing w:after="240"/>
      <w:ind w:left="720" w:hanging="720"/>
    </w:pPr>
    <w:rPr>
      <w:rFonts w:eastAsia="Calibri"/>
    </w:rPr>
  </w:style>
  <w:style w:type="paragraph" w:customStyle="1" w:styleId="BodyTextIndent10">
    <w:name w:val="Body Text Indent (1.0)"/>
    <w:basedOn w:val="Normal"/>
    <w:qFormat/>
    <w:rsid w:val="00967109"/>
    <w:pPr>
      <w:spacing w:after="240"/>
      <w:ind w:left="1440"/>
    </w:pPr>
  </w:style>
  <w:style w:type="paragraph" w:styleId="Footer">
    <w:name w:val="footer"/>
    <w:basedOn w:val="Normal"/>
    <w:link w:val="FooterChar"/>
    <w:uiPriority w:val="99"/>
    <w:rsid w:val="009A26BB"/>
    <w:pPr>
      <w:tabs>
        <w:tab w:val="left" w:pos="4680"/>
        <w:tab w:val="left" w:pos="9000"/>
      </w:tabs>
    </w:pPr>
    <w:rPr>
      <w:rFonts w:eastAsia="Calibri"/>
    </w:rPr>
  </w:style>
  <w:style w:type="character" w:customStyle="1" w:styleId="FooterChar">
    <w:name w:val="Footer Char"/>
    <w:basedOn w:val="DefaultParagraphFont"/>
    <w:link w:val="Footer"/>
    <w:uiPriority w:val="99"/>
    <w:rsid w:val="009A26BB"/>
    <w:rPr>
      <w:rFonts w:ascii="Times New Roman" w:eastAsia="Calibri" w:hAnsi="Times New Roman" w:cs="Times New Roman"/>
    </w:rPr>
  </w:style>
  <w:style w:type="paragraph" w:customStyle="1" w:styleId="Footnote">
    <w:name w:val="Footnote"/>
    <w:basedOn w:val="Normal"/>
    <w:rsid w:val="003A2D23"/>
    <w:rPr>
      <w:rFonts w:eastAsia="Calibri"/>
    </w:rPr>
  </w:style>
  <w:style w:type="character" w:styleId="FootnoteReference">
    <w:name w:val="footnote reference"/>
    <w:rsid w:val="003A2D23"/>
    <w:rPr>
      <w:vertAlign w:val="superscript"/>
    </w:rPr>
  </w:style>
  <w:style w:type="paragraph" w:styleId="FootnoteText">
    <w:name w:val="footnote text"/>
    <w:basedOn w:val="Normal"/>
    <w:link w:val="FootnoteTextChar"/>
    <w:rsid w:val="003A2D23"/>
    <w:pPr>
      <w:spacing w:after="240"/>
      <w:ind w:firstLine="720"/>
    </w:pPr>
    <w:rPr>
      <w:rFonts w:eastAsia="Calibri"/>
      <w:sz w:val="20"/>
      <w:szCs w:val="20"/>
    </w:rPr>
  </w:style>
  <w:style w:type="character" w:customStyle="1" w:styleId="FootnoteTextChar">
    <w:name w:val="Footnote Text Char"/>
    <w:basedOn w:val="DefaultParagraphFont"/>
    <w:link w:val="FootnoteText"/>
    <w:rsid w:val="003A2D23"/>
    <w:rPr>
      <w:rFonts w:ascii="Times New Roman" w:eastAsia="Calibri" w:hAnsi="Times New Roman" w:cs="Times New Roman"/>
      <w:sz w:val="20"/>
      <w:szCs w:val="20"/>
    </w:rPr>
  </w:style>
  <w:style w:type="paragraph" w:styleId="Header">
    <w:name w:val="header"/>
    <w:basedOn w:val="Normal"/>
    <w:link w:val="HeaderChar"/>
    <w:rsid w:val="003A2D23"/>
    <w:pPr>
      <w:tabs>
        <w:tab w:val="right" w:pos="4680"/>
        <w:tab w:val="right" w:pos="8640"/>
      </w:tabs>
    </w:pPr>
    <w:rPr>
      <w:rFonts w:eastAsia="Calibri"/>
    </w:rPr>
  </w:style>
  <w:style w:type="character" w:customStyle="1" w:styleId="HeaderChar">
    <w:name w:val="Header Char"/>
    <w:basedOn w:val="DefaultParagraphFont"/>
    <w:link w:val="Header"/>
    <w:rsid w:val="003A2D23"/>
    <w:rPr>
      <w:rFonts w:ascii="Times New Roman" w:eastAsia="Calibri" w:hAnsi="Times New Roman" w:cs="Times New Roman"/>
    </w:rPr>
  </w:style>
  <w:style w:type="paragraph" w:styleId="Quote">
    <w:name w:val="Quote"/>
    <w:basedOn w:val="Normal"/>
    <w:next w:val="Normal"/>
    <w:link w:val="QuoteChar"/>
    <w:qFormat/>
    <w:rsid w:val="003A2D23"/>
    <w:pPr>
      <w:spacing w:after="240"/>
      <w:ind w:left="1440" w:right="1440"/>
    </w:pPr>
    <w:rPr>
      <w:szCs w:val="20"/>
    </w:rPr>
  </w:style>
  <w:style w:type="character" w:customStyle="1" w:styleId="QuoteChar">
    <w:name w:val="Quote Char"/>
    <w:basedOn w:val="DefaultParagraphFont"/>
    <w:link w:val="Quote"/>
    <w:rsid w:val="003A2D23"/>
    <w:rPr>
      <w:rFonts w:ascii="Times New Roman" w:eastAsia="Times New Roman" w:hAnsi="Times New Roman" w:cs="Times New Roman"/>
      <w:szCs w:val="20"/>
    </w:rPr>
  </w:style>
  <w:style w:type="paragraph" w:customStyle="1" w:styleId="SigBlock">
    <w:name w:val="Sig Block"/>
    <w:basedOn w:val="Normal"/>
    <w:uiPriority w:val="4"/>
    <w:rsid w:val="003A2D23"/>
    <w:pPr>
      <w:spacing w:after="240"/>
      <w:ind w:left="4680"/>
      <w:contextualSpacing/>
    </w:pPr>
  </w:style>
  <w:style w:type="paragraph" w:customStyle="1" w:styleId="SigBlockUnderline">
    <w:name w:val="Sig Block Underline"/>
    <w:basedOn w:val="Normal"/>
    <w:next w:val="SigBlock"/>
    <w:uiPriority w:val="4"/>
    <w:rsid w:val="003A2D23"/>
    <w:pPr>
      <w:tabs>
        <w:tab w:val="right" w:pos="9360"/>
      </w:tabs>
      <w:ind w:left="4680"/>
    </w:pPr>
    <w:rPr>
      <w:u w:val="single"/>
    </w:rPr>
  </w:style>
  <w:style w:type="paragraph" w:styleId="Subtitle">
    <w:name w:val="Subtitle"/>
    <w:basedOn w:val="Normal"/>
    <w:next w:val="BodyTextFirstIndent"/>
    <w:link w:val="SubtitleChar"/>
    <w:qFormat/>
    <w:rsid w:val="003A2D23"/>
    <w:pPr>
      <w:keepNext/>
      <w:spacing w:after="240"/>
      <w:jc w:val="center"/>
    </w:pPr>
    <w:rPr>
      <w:rFonts w:eastAsia="Calibri"/>
      <w:bCs/>
    </w:rPr>
  </w:style>
  <w:style w:type="character" w:customStyle="1" w:styleId="SubtitleChar">
    <w:name w:val="Subtitle Char"/>
    <w:basedOn w:val="DefaultParagraphFont"/>
    <w:link w:val="Subtitle"/>
    <w:rsid w:val="003A2D23"/>
    <w:rPr>
      <w:rFonts w:ascii="Times New Roman" w:eastAsia="Calibri" w:hAnsi="Times New Roman" w:cs="Times New Roman"/>
      <w:bCs/>
    </w:rPr>
  </w:style>
  <w:style w:type="paragraph" w:customStyle="1" w:styleId="Subtitle2">
    <w:name w:val="Subtitle2"/>
    <w:basedOn w:val="Normal"/>
    <w:next w:val="BodyTextFirstIndent"/>
    <w:qFormat/>
    <w:rsid w:val="003A2D23"/>
    <w:pPr>
      <w:keepNext/>
      <w:spacing w:after="240"/>
    </w:pPr>
    <w:rPr>
      <w:rFonts w:eastAsia="Calibri"/>
      <w:u w:val="single"/>
    </w:rPr>
  </w:style>
  <w:style w:type="paragraph" w:customStyle="1" w:styleId="Subtitle3">
    <w:name w:val="Subtitle3"/>
    <w:basedOn w:val="Normal"/>
    <w:next w:val="BodyTextFirstIndent"/>
    <w:rsid w:val="003A2D23"/>
    <w:pPr>
      <w:keepNext/>
      <w:spacing w:after="240"/>
    </w:pPr>
    <w:rPr>
      <w:rFonts w:eastAsia="Calibri"/>
      <w:b/>
    </w:rPr>
  </w:style>
  <w:style w:type="paragraph" w:styleId="Title">
    <w:name w:val="Title"/>
    <w:basedOn w:val="Normal"/>
    <w:next w:val="BodyTextFirstIndent"/>
    <w:link w:val="TitleChar"/>
    <w:qFormat/>
    <w:rsid w:val="003A2D23"/>
    <w:pPr>
      <w:keepNext/>
      <w:spacing w:after="240"/>
      <w:jc w:val="center"/>
    </w:pPr>
    <w:rPr>
      <w:rFonts w:eastAsia="Calibri"/>
      <w:caps/>
    </w:rPr>
  </w:style>
  <w:style w:type="character" w:customStyle="1" w:styleId="TitleChar">
    <w:name w:val="Title Char"/>
    <w:basedOn w:val="DefaultParagraphFont"/>
    <w:link w:val="Title"/>
    <w:rsid w:val="003A2D23"/>
    <w:rPr>
      <w:rFonts w:ascii="Times New Roman" w:eastAsia="Calibri" w:hAnsi="Times New Roman" w:cs="Times New Roman"/>
      <w:caps/>
    </w:rPr>
  </w:style>
  <w:style w:type="paragraph" w:customStyle="1" w:styleId="Title2">
    <w:name w:val="Title2"/>
    <w:basedOn w:val="Normal"/>
    <w:next w:val="BodyTextFirstIndent"/>
    <w:qFormat/>
    <w:rsid w:val="003A2D23"/>
    <w:pPr>
      <w:keepNext/>
      <w:spacing w:after="240"/>
      <w:jc w:val="center"/>
    </w:pPr>
    <w:rPr>
      <w:rFonts w:eastAsia="Calibri"/>
      <w:b/>
      <w:caps/>
    </w:rPr>
  </w:style>
  <w:style w:type="paragraph" w:customStyle="1" w:styleId="TOCHeader">
    <w:name w:val="TOC Header"/>
    <w:basedOn w:val="Normal"/>
    <w:rsid w:val="001A2B1C"/>
    <w:pPr>
      <w:ind w:left="115" w:right="115"/>
      <w:jc w:val="center"/>
    </w:pPr>
    <w:rPr>
      <w:szCs w:val="20"/>
    </w:rPr>
  </w:style>
  <w:style w:type="paragraph" w:styleId="TOC1">
    <w:name w:val="toc 1"/>
    <w:basedOn w:val="Normal"/>
    <w:next w:val="Normal"/>
    <w:autoRedefine/>
    <w:uiPriority w:val="39"/>
    <w:rsid w:val="00B11EE0"/>
    <w:pPr>
      <w:keepLines/>
      <w:tabs>
        <w:tab w:val="right" w:leader="dot" w:pos="9288"/>
      </w:tabs>
      <w:spacing w:before="240"/>
      <w:ind w:left="720" w:right="720" w:hanging="720"/>
    </w:pPr>
    <w:rPr>
      <w:caps/>
      <w:szCs w:val="20"/>
    </w:rPr>
  </w:style>
  <w:style w:type="paragraph" w:styleId="TOC2">
    <w:name w:val="toc 2"/>
    <w:basedOn w:val="Normal"/>
    <w:next w:val="Normal"/>
    <w:autoRedefine/>
    <w:uiPriority w:val="39"/>
    <w:rsid w:val="00B11EE0"/>
    <w:pPr>
      <w:keepLines/>
      <w:tabs>
        <w:tab w:val="right" w:leader="dot" w:pos="9288"/>
      </w:tabs>
      <w:ind w:left="1440" w:right="720" w:hanging="720"/>
    </w:pPr>
    <w:rPr>
      <w:szCs w:val="20"/>
    </w:rPr>
  </w:style>
  <w:style w:type="paragraph" w:styleId="TOC3">
    <w:name w:val="toc 3"/>
    <w:basedOn w:val="Normal"/>
    <w:next w:val="Normal"/>
    <w:autoRedefine/>
    <w:rsid w:val="00B11EE0"/>
    <w:pPr>
      <w:keepLines/>
      <w:tabs>
        <w:tab w:val="right" w:leader="dot" w:pos="9288"/>
      </w:tabs>
      <w:ind w:left="2160" w:right="720" w:hanging="720"/>
    </w:pPr>
    <w:rPr>
      <w:szCs w:val="20"/>
    </w:rPr>
  </w:style>
  <w:style w:type="paragraph" w:styleId="TOC4">
    <w:name w:val="toc 4"/>
    <w:basedOn w:val="Normal"/>
    <w:next w:val="Normal"/>
    <w:autoRedefine/>
    <w:rsid w:val="00B11EE0"/>
    <w:pPr>
      <w:keepLines/>
      <w:tabs>
        <w:tab w:val="right" w:leader="dot" w:pos="9288"/>
      </w:tabs>
      <w:ind w:left="2880" w:right="720" w:hanging="720"/>
    </w:pPr>
    <w:rPr>
      <w:szCs w:val="20"/>
    </w:rPr>
  </w:style>
  <w:style w:type="paragraph" w:styleId="TOC5">
    <w:name w:val="toc 5"/>
    <w:basedOn w:val="Normal"/>
    <w:next w:val="Normal"/>
    <w:autoRedefine/>
    <w:rsid w:val="00B11EE0"/>
    <w:pPr>
      <w:keepLines/>
      <w:tabs>
        <w:tab w:val="right" w:leader="dot" w:pos="9288"/>
      </w:tabs>
      <w:ind w:left="3600" w:right="720" w:hanging="720"/>
    </w:pPr>
    <w:rPr>
      <w:szCs w:val="20"/>
    </w:rPr>
  </w:style>
  <w:style w:type="paragraph" w:styleId="TOC6">
    <w:name w:val="toc 6"/>
    <w:basedOn w:val="Normal"/>
    <w:next w:val="Normal"/>
    <w:autoRedefine/>
    <w:rsid w:val="001A2B1C"/>
    <w:pPr>
      <w:keepLines/>
      <w:tabs>
        <w:tab w:val="right" w:leader="dot" w:pos="9288"/>
      </w:tabs>
      <w:spacing w:after="120"/>
      <w:ind w:left="4320" w:right="720" w:hanging="720"/>
    </w:pPr>
    <w:rPr>
      <w:szCs w:val="20"/>
    </w:rPr>
  </w:style>
  <w:style w:type="paragraph" w:styleId="TOC7">
    <w:name w:val="toc 7"/>
    <w:basedOn w:val="Normal"/>
    <w:next w:val="Normal"/>
    <w:autoRedefine/>
    <w:rsid w:val="001A2B1C"/>
    <w:pPr>
      <w:keepLines/>
      <w:tabs>
        <w:tab w:val="right" w:leader="dot" w:pos="9288"/>
      </w:tabs>
      <w:spacing w:after="120"/>
      <w:ind w:left="5040" w:right="720" w:hanging="720"/>
    </w:pPr>
    <w:rPr>
      <w:szCs w:val="20"/>
    </w:rPr>
  </w:style>
  <w:style w:type="paragraph" w:styleId="TOC8">
    <w:name w:val="toc 8"/>
    <w:basedOn w:val="Normal"/>
    <w:next w:val="Normal"/>
    <w:autoRedefine/>
    <w:rsid w:val="001A2B1C"/>
    <w:pPr>
      <w:keepLines/>
      <w:tabs>
        <w:tab w:val="right" w:leader="dot" w:pos="9288"/>
      </w:tabs>
      <w:spacing w:after="120"/>
      <w:ind w:left="5760" w:right="720" w:hanging="720"/>
    </w:pPr>
    <w:rPr>
      <w:szCs w:val="20"/>
    </w:rPr>
  </w:style>
  <w:style w:type="paragraph" w:styleId="TOC9">
    <w:name w:val="toc 9"/>
    <w:basedOn w:val="Normal"/>
    <w:next w:val="Normal"/>
    <w:autoRedefine/>
    <w:semiHidden/>
    <w:rsid w:val="001A2B1C"/>
    <w:pPr>
      <w:keepLines/>
      <w:tabs>
        <w:tab w:val="right" w:leader="dot" w:pos="9288"/>
      </w:tabs>
      <w:spacing w:after="120"/>
      <w:ind w:left="6480" w:right="720" w:hanging="720"/>
    </w:pPr>
    <w:rPr>
      <w:szCs w:val="20"/>
    </w:rPr>
  </w:style>
  <w:style w:type="table" w:styleId="TableGrid">
    <w:name w:val="Table Grid"/>
    <w:basedOn w:val="TableNormal"/>
    <w:uiPriority w:val="39"/>
    <w:rsid w:val="005940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78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7843"/>
    <w:rPr>
      <w:rFonts w:ascii="Segoe UI" w:hAnsi="Segoe UI" w:cs="Segoe UI"/>
      <w:sz w:val="18"/>
      <w:szCs w:val="18"/>
    </w:rPr>
  </w:style>
  <w:style w:type="paragraph" w:styleId="Bibliography">
    <w:name w:val="Bibliography"/>
    <w:basedOn w:val="Normal"/>
    <w:next w:val="Normal"/>
    <w:uiPriority w:val="37"/>
    <w:semiHidden/>
    <w:unhideWhenUsed/>
    <w:rsid w:val="00667843"/>
  </w:style>
  <w:style w:type="paragraph" w:styleId="BodyText2">
    <w:name w:val="Body Text 2"/>
    <w:basedOn w:val="Normal"/>
    <w:link w:val="BodyText2Char"/>
    <w:semiHidden/>
    <w:unhideWhenUsed/>
    <w:qFormat/>
    <w:rsid w:val="00667843"/>
    <w:pPr>
      <w:spacing w:after="120" w:line="480" w:lineRule="auto"/>
    </w:pPr>
  </w:style>
  <w:style w:type="character" w:customStyle="1" w:styleId="BodyText2Char">
    <w:name w:val="Body Text 2 Char"/>
    <w:basedOn w:val="DefaultParagraphFont"/>
    <w:link w:val="BodyText2"/>
    <w:semiHidden/>
    <w:rsid w:val="00667843"/>
    <w:rPr>
      <w:rFonts w:ascii="Times New Roman" w:hAnsi="Times New Roman"/>
    </w:rPr>
  </w:style>
  <w:style w:type="paragraph" w:styleId="BodyText3">
    <w:name w:val="Body Text 3"/>
    <w:basedOn w:val="Normal"/>
    <w:link w:val="BodyText3Char"/>
    <w:semiHidden/>
    <w:unhideWhenUsed/>
    <w:qFormat/>
    <w:rsid w:val="00667843"/>
    <w:pPr>
      <w:spacing w:after="120"/>
    </w:pPr>
    <w:rPr>
      <w:sz w:val="16"/>
      <w:szCs w:val="16"/>
    </w:rPr>
  </w:style>
  <w:style w:type="character" w:customStyle="1" w:styleId="BodyText3Char">
    <w:name w:val="Body Text 3 Char"/>
    <w:basedOn w:val="DefaultParagraphFont"/>
    <w:link w:val="BodyText3"/>
    <w:semiHidden/>
    <w:rsid w:val="00667843"/>
    <w:rPr>
      <w:rFonts w:ascii="Times New Roman" w:hAnsi="Times New Roman"/>
      <w:sz w:val="16"/>
      <w:szCs w:val="16"/>
    </w:rPr>
  </w:style>
  <w:style w:type="paragraph" w:styleId="BodyTextFirstIndent2">
    <w:name w:val="Body Text First Indent 2"/>
    <w:basedOn w:val="BodyTextIndent"/>
    <w:link w:val="BodyTextFirstIndent2Char"/>
    <w:semiHidden/>
    <w:unhideWhenUsed/>
    <w:qFormat/>
    <w:rsid w:val="00667843"/>
    <w:pPr>
      <w:spacing w:after="0"/>
      <w:ind w:left="360" w:firstLine="360"/>
    </w:pPr>
    <w:rPr>
      <w:rFonts w:eastAsiaTheme="minorHAnsi" w:cstheme="minorBidi"/>
    </w:rPr>
  </w:style>
  <w:style w:type="character" w:customStyle="1" w:styleId="BodyTextFirstIndent2Char">
    <w:name w:val="Body Text First Indent 2 Char"/>
    <w:basedOn w:val="BodyTextIndentChar"/>
    <w:link w:val="BodyTextFirstIndent2"/>
    <w:semiHidden/>
    <w:rsid w:val="00667843"/>
    <w:rPr>
      <w:rFonts w:ascii="Times New Roman" w:eastAsia="Calibri" w:hAnsi="Times New Roman" w:cs="Times New Roman"/>
    </w:rPr>
  </w:style>
  <w:style w:type="paragraph" w:styleId="BodyTextIndent2">
    <w:name w:val="Body Text Indent 2"/>
    <w:basedOn w:val="Normal"/>
    <w:link w:val="BodyTextIndent2Char"/>
    <w:uiPriority w:val="99"/>
    <w:semiHidden/>
    <w:unhideWhenUsed/>
    <w:rsid w:val="00667843"/>
    <w:pPr>
      <w:spacing w:after="120" w:line="480" w:lineRule="auto"/>
      <w:ind w:left="360"/>
    </w:pPr>
  </w:style>
  <w:style w:type="character" w:customStyle="1" w:styleId="BodyTextIndent2Char">
    <w:name w:val="Body Text Indent 2 Char"/>
    <w:basedOn w:val="DefaultParagraphFont"/>
    <w:link w:val="BodyTextIndent2"/>
    <w:uiPriority w:val="99"/>
    <w:semiHidden/>
    <w:rsid w:val="00667843"/>
    <w:rPr>
      <w:rFonts w:ascii="Times New Roman" w:hAnsi="Times New Roman"/>
    </w:rPr>
  </w:style>
  <w:style w:type="paragraph" w:styleId="BodyTextIndent3">
    <w:name w:val="Body Text Indent 3"/>
    <w:basedOn w:val="Normal"/>
    <w:link w:val="BodyTextIndent3Char"/>
    <w:uiPriority w:val="99"/>
    <w:semiHidden/>
    <w:unhideWhenUsed/>
    <w:rsid w:val="0066784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667843"/>
    <w:rPr>
      <w:rFonts w:ascii="Times New Roman" w:hAnsi="Times New Roman"/>
      <w:sz w:val="16"/>
      <w:szCs w:val="16"/>
    </w:rPr>
  </w:style>
  <w:style w:type="paragraph" w:styleId="Caption">
    <w:name w:val="caption"/>
    <w:basedOn w:val="Normal"/>
    <w:next w:val="Normal"/>
    <w:uiPriority w:val="35"/>
    <w:semiHidden/>
    <w:unhideWhenUsed/>
    <w:qFormat/>
    <w:rsid w:val="00667843"/>
    <w:pPr>
      <w:spacing w:after="200"/>
    </w:pPr>
    <w:rPr>
      <w:i/>
      <w:iCs/>
      <w:color w:val="0E2841" w:themeColor="text2"/>
      <w:sz w:val="18"/>
      <w:szCs w:val="18"/>
    </w:rPr>
  </w:style>
  <w:style w:type="paragraph" w:styleId="Closing">
    <w:name w:val="Closing"/>
    <w:basedOn w:val="Normal"/>
    <w:link w:val="ClosingChar"/>
    <w:uiPriority w:val="99"/>
    <w:semiHidden/>
    <w:unhideWhenUsed/>
    <w:rsid w:val="00667843"/>
    <w:pPr>
      <w:ind w:left="4320"/>
    </w:pPr>
  </w:style>
  <w:style w:type="character" w:customStyle="1" w:styleId="ClosingChar">
    <w:name w:val="Closing Char"/>
    <w:basedOn w:val="DefaultParagraphFont"/>
    <w:link w:val="Closing"/>
    <w:uiPriority w:val="99"/>
    <w:semiHidden/>
    <w:rsid w:val="00667843"/>
    <w:rPr>
      <w:rFonts w:ascii="Times New Roman" w:hAnsi="Times New Roman"/>
    </w:rPr>
  </w:style>
  <w:style w:type="paragraph" w:styleId="CommentText">
    <w:name w:val="annotation text"/>
    <w:basedOn w:val="Normal"/>
    <w:link w:val="CommentTextChar"/>
    <w:uiPriority w:val="99"/>
    <w:unhideWhenUsed/>
    <w:rsid w:val="00667843"/>
    <w:rPr>
      <w:sz w:val="20"/>
      <w:szCs w:val="20"/>
    </w:rPr>
  </w:style>
  <w:style w:type="character" w:customStyle="1" w:styleId="CommentTextChar">
    <w:name w:val="Comment Text Char"/>
    <w:basedOn w:val="DefaultParagraphFont"/>
    <w:link w:val="CommentText"/>
    <w:uiPriority w:val="99"/>
    <w:rsid w:val="0066784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67843"/>
    <w:rPr>
      <w:b/>
      <w:bCs/>
    </w:rPr>
  </w:style>
  <w:style w:type="character" w:customStyle="1" w:styleId="CommentSubjectChar">
    <w:name w:val="Comment Subject Char"/>
    <w:basedOn w:val="CommentTextChar"/>
    <w:link w:val="CommentSubject"/>
    <w:uiPriority w:val="99"/>
    <w:semiHidden/>
    <w:rsid w:val="00667843"/>
    <w:rPr>
      <w:rFonts w:ascii="Times New Roman" w:hAnsi="Times New Roman"/>
      <w:b/>
      <w:bCs/>
      <w:sz w:val="20"/>
      <w:szCs w:val="20"/>
    </w:rPr>
  </w:style>
  <w:style w:type="paragraph" w:styleId="Date">
    <w:name w:val="Date"/>
    <w:basedOn w:val="Normal"/>
    <w:next w:val="Normal"/>
    <w:link w:val="DateChar"/>
    <w:uiPriority w:val="99"/>
    <w:semiHidden/>
    <w:unhideWhenUsed/>
    <w:rsid w:val="00667843"/>
  </w:style>
  <w:style w:type="character" w:customStyle="1" w:styleId="DateChar">
    <w:name w:val="Date Char"/>
    <w:basedOn w:val="DefaultParagraphFont"/>
    <w:link w:val="Date"/>
    <w:uiPriority w:val="99"/>
    <w:semiHidden/>
    <w:rsid w:val="00667843"/>
    <w:rPr>
      <w:rFonts w:ascii="Times New Roman" w:hAnsi="Times New Roman"/>
    </w:rPr>
  </w:style>
  <w:style w:type="paragraph" w:styleId="DocumentMap">
    <w:name w:val="Document Map"/>
    <w:basedOn w:val="Normal"/>
    <w:link w:val="DocumentMapChar"/>
    <w:uiPriority w:val="99"/>
    <w:semiHidden/>
    <w:unhideWhenUsed/>
    <w:rsid w:val="00667843"/>
    <w:rPr>
      <w:rFonts w:ascii="Segoe UI" w:hAnsi="Segoe UI" w:cs="Segoe UI"/>
      <w:sz w:val="16"/>
      <w:szCs w:val="16"/>
    </w:rPr>
  </w:style>
  <w:style w:type="character" w:customStyle="1" w:styleId="DocumentMapChar">
    <w:name w:val="Document Map Char"/>
    <w:basedOn w:val="DefaultParagraphFont"/>
    <w:link w:val="DocumentMap"/>
    <w:uiPriority w:val="99"/>
    <w:semiHidden/>
    <w:rsid w:val="00667843"/>
    <w:rPr>
      <w:rFonts w:ascii="Segoe UI" w:hAnsi="Segoe UI" w:cs="Segoe UI"/>
      <w:sz w:val="16"/>
      <w:szCs w:val="16"/>
    </w:rPr>
  </w:style>
  <w:style w:type="paragraph" w:styleId="E-mailSignature">
    <w:name w:val="E-mail Signature"/>
    <w:basedOn w:val="Normal"/>
    <w:link w:val="E-mailSignatureChar"/>
    <w:uiPriority w:val="99"/>
    <w:semiHidden/>
    <w:unhideWhenUsed/>
    <w:rsid w:val="00667843"/>
  </w:style>
  <w:style w:type="character" w:customStyle="1" w:styleId="E-mailSignatureChar">
    <w:name w:val="E-mail Signature Char"/>
    <w:basedOn w:val="DefaultParagraphFont"/>
    <w:link w:val="E-mailSignature"/>
    <w:uiPriority w:val="99"/>
    <w:semiHidden/>
    <w:rsid w:val="00667843"/>
    <w:rPr>
      <w:rFonts w:ascii="Times New Roman" w:hAnsi="Times New Roman"/>
    </w:rPr>
  </w:style>
  <w:style w:type="paragraph" w:styleId="EndnoteText">
    <w:name w:val="endnote text"/>
    <w:basedOn w:val="Normal"/>
    <w:link w:val="EndnoteTextChar"/>
    <w:uiPriority w:val="99"/>
    <w:semiHidden/>
    <w:unhideWhenUsed/>
    <w:rsid w:val="00667843"/>
    <w:rPr>
      <w:sz w:val="20"/>
      <w:szCs w:val="20"/>
    </w:rPr>
  </w:style>
  <w:style w:type="character" w:customStyle="1" w:styleId="EndnoteTextChar">
    <w:name w:val="Endnote Text Char"/>
    <w:basedOn w:val="DefaultParagraphFont"/>
    <w:link w:val="EndnoteText"/>
    <w:uiPriority w:val="99"/>
    <w:semiHidden/>
    <w:rsid w:val="00667843"/>
    <w:rPr>
      <w:rFonts w:ascii="Times New Roman" w:hAnsi="Times New Roman"/>
      <w:sz w:val="20"/>
      <w:szCs w:val="20"/>
    </w:rPr>
  </w:style>
  <w:style w:type="paragraph" w:styleId="EnvelopeAddress">
    <w:name w:val="envelope address"/>
    <w:basedOn w:val="Normal"/>
    <w:uiPriority w:val="99"/>
    <w:semiHidden/>
    <w:unhideWhenUsed/>
    <w:rsid w:val="0066784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667843"/>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667843"/>
    <w:rPr>
      <w:rFonts w:asciiTheme="majorHAnsi" w:eastAsiaTheme="majorEastAsia" w:hAnsiTheme="majorHAnsi" w:cstheme="majorBidi"/>
      <w:color w:val="0F4761" w:themeColor="accent1" w:themeShade="BF"/>
      <w:sz w:val="32"/>
      <w:szCs w:val="32"/>
    </w:rPr>
  </w:style>
  <w:style w:type="character" w:customStyle="1" w:styleId="Heading2Char">
    <w:name w:val="Heading 2 Char"/>
    <w:basedOn w:val="DefaultParagraphFont"/>
    <w:link w:val="Heading2"/>
    <w:uiPriority w:val="9"/>
    <w:semiHidden/>
    <w:rsid w:val="00667843"/>
    <w:rPr>
      <w:rFonts w:asciiTheme="majorHAnsi" w:eastAsiaTheme="majorEastAsia" w:hAnsiTheme="majorHAnsi" w:cstheme="majorBidi"/>
      <w:color w:val="0F4761" w:themeColor="accent1" w:themeShade="BF"/>
      <w:sz w:val="26"/>
      <w:szCs w:val="26"/>
    </w:rPr>
  </w:style>
  <w:style w:type="character" w:customStyle="1" w:styleId="Heading3Char">
    <w:name w:val="Heading 3 Char"/>
    <w:basedOn w:val="DefaultParagraphFont"/>
    <w:link w:val="Heading3"/>
    <w:uiPriority w:val="9"/>
    <w:semiHidden/>
    <w:rsid w:val="00667843"/>
    <w:rPr>
      <w:rFonts w:asciiTheme="majorHAnsi" w:eastAsiaTheme="majorEastAsia" w:hAnsiTheme="majorHAnsi" w:cstheme="majorBidi"/>
      <w:color w:val="0A2F40" w:themeColor="accent1" w:themeShade="7F"/>
    </w:rPr>
  </w:style>
  <w:style w:type="character" w:customStyle="1" w:styleId="Heading4Char">
    <w:name w:val="Heading 4 Char"/>
    <w:basedOn w:val="DefaultParagraphFont"/>
    <w:link w:val="Heading4"/>
    <w:uiPriority w:val="9"/>
    <w:semiHidden/>
    <w:rsid w:val="00667843"/>
    <w:rPr>
      <w:rFonts w:asciiTheme="majorHAnsi" w:eastAsiaTheme="majorEastAsia" w:hAnsiTheme="majorHAnsi" w:cstheme="majorBidi"/>
      <w:i/>
      <w:iCs/>
      <w:color w:val="0F4761" w:themeColor="accent1" w:themeShade="BF"/>
    </w:rPr>
  </w:style>
  <w:style w:type="character" w:customStyle="1" w:styleId="Heading5Char">
    <w:name w:val="Heading 5 Char"/>
    <w:basedOn w:val="DefaultParagraphFont"/>
    <w:link w:val="Heading5"/>
    <w:uiPriority w:val="9"/>
    <w:semiHidden/>
    <w:rsid w:val="00667843"/>
    <w:rPr>
      <w:rFonts w:asciiTheme="majorHAnsi" w:eastAsiaTheme="majorEastAsia" w:hAnsiTheme="majorHAnsi" w:cstheme="majorBidi"/>
      <w:color w:val="0F4761" w:themeColor="accent1" w:themeShade="BF"/>
    </w:rPr>
  </w:style>
  <w:style w:type="character" w:customStyle="1" w:styleId="Heading6Char">
    <w:name w:val="Heading 6 Char"/>
    <w:basedOn w:val="DefaultParagraphFont"/>
    <w:link w:val="Heading6"/>
    <w:uiPriority w:val="9"/>
    <w:semiHidden/>
    <w:rsid w:val="00667843"/>
    <w:rPr>
      <w:rFonts w:asciiTheme="majorHAnsi" w:eastAsiaTheme="majorEastAsia" w:hAnsiTheme="majorHAnsi" w:cstheme="majorBidi"/>
      <w:color w:val="0A2F40" w:themeColor="accent1" w:themeShade="7F"/>
    </w:rPr>
  </w:style>
  <w:style w:type="character" w:customStyle="1" w:styleId="Heading7Char">
    <w:name w:val="Heading 7 Char"/>
    <w:basedOn w:val="DefaultParagraphFont"/>
    <w:link w:val="Heading7"/>
    <w:uiPriority w:val="9"/>
    <w:semiHidden/>
    <w:rsid w:val="00667843"/>
    <w:rPr>
      <w:rFonts w:asciiTheme="majorHAnsi" w:eastAsiaTheme="majorEastAsia" w:hAnsiTheme="majorHAnsi" w:cstheme="majorBidi"/>
      <w:i/>
      <w:iCs/>
      <w:color w:val="0A2F40" w:themeColor="accent1" w:themeShade="7F"/>
    </w:rPr>
  </w:style>
  <w:style w:type="character" w:customStyle="1" w:styleId="Heading8Char">
    <w:name w:val="Heading 8 Char"/>
    <w:basedOn w:val="DefaultParagraphFont"/>
    <w:link w:val="Heading8"/>
    <w:uiPriority w:val="9"/>
    <w:semiHidden/>
    <w:rsid w:val="0066784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67843"/>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667843"/>
    <w:rPr>
      <w:i/>
      <w:iCs/>
    </w:rPr>
  </w:style>
  <w:style w:type="character" w:customStyle="1" w:styleId="HTMLAddressChar">
    <w:name w:val="HTML Address Char"/>
    <w:basedOn w:val="DefaultParagraphFont"/>
    <w:link w:val="HTMLAddress"/>
    <w:uiPriority w:val="99"/>
    <w:semiHidden/>
    <w:rsid w:val="00667843"/>
    <w:rPr>
      <w:rFonts w:ascii="Times New Roman" w:hAnsi="Times New Roman"/>
      <w:i/>
      <w:iCs/>
    </w:rPr>
  </w:style>
  <w:style w:type="paragraph" w:styleId="HTMLPreformatted">
    <w:name w:val="HTML Preformatted"/>
    <w:basedOn w:val="Normal"/>
    <w:link w:val="HTMLPreformattedChar"/>
    <w:uiPriority w:val="99"/>
    <w:semiHidden/>
    <w:unhideWhenUsed/>
    <w:rsid w:val="0066784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667843"/>
    <w:rPr>
      <w:rFonts w:ascii="Consolas" w:hAnsi="Consolas"/>
      <w:sz w:val="20"/>
      <w:szCs w:val="20"/>
    </w:rPr>
  </w:style>
  <w:style w:type="paragraph" w:styleId="Index1">
    <w:name w:val="index 1"/>
    <w:basedOn w:val="Normal"/>
    <w:next w:val="Normal"/>
    <w:autoRedefine/>
    <w:uiPriority w:val="99"/>
    <w:semiHidden/>
    <w:unhideWhenUsed/>
    <w:rsid w:val="00667843"/>
    <w:pPr>
      <w:ind w:left="240" w:hanging="240"/>
    </w:pPr>
  </w:style>
  <w:style w:type="paragraph" w:styleId="Index2">
    <w:name w:val="index 2"/>
    <w:basedOn w:val="Normal"/>
    <w:next w:val="Normal"/>
    <w:autoRedefine/>
    <w:uiPriority w:val="99"/>
    <w:semiHidden/>
    <w:unhideWhenUsed/>
    <w:rsid w:val="00667843"/>
    <w:pPr>
      <w:ind w:left="480" w:hanging="240"/>
    </w:pPr>
  </w:style>
  <w:style w:type="paragraph" w:styleId="Index3">
    <w:name w:val="index 3"/>
    <w:basedOn w:val="Normal"/>
    <w:next w:val="Normal"/>
    <w:autoRedefine/>
    <w:uiPriority w:val="99"/>
    <w:semiHidden/>
    <w:unhideWhenUsed/>
    <w:rsid w:val="00667843"/>
    <w:pPr>
      <w:ind w:left="720" w:hanging="240"/>
    </w:pPr>
  </w:style>
  <w:style w:type="paragraph" w:styleId="Index4">
    <w:name w:val="index 4"/>
    <w:basedOn w:val="Normal"/>
    <w:next w:val="Normal"/>
    <w:autoRedefine/>
    <w:uiPriority w:val="99"/>
    <w:semiHidden/>
    <w:unhideWhenUsed/>
    <w:rsid w:val="00667843"/>
    <w:pPr>
      <w:ind w:left="960" w:hanging="240"/>
    </w:pPr>
  </w:style>
  <w:style w:type="paragraph" w:styleId="Index5">
    <w:name w:val="index 5"/>
    <w:basedOn w:val="Normal"/>
    <w:next w:val="Normal"/>
    <w:autoRedefine/>
    <w:uiPriority w:val="99"/>
    <w:semiHidden/>
    <w:unhideWhenUsed/>
    <w:rsid w:val="00667843"/>
    <w:pPr>
      <w:ind w:left="1200" w:hanging="240"/>
    </w:pPr>
  </w:style>
  <w:style w:type="paragraph" w:styleId="Index6">
    <w:name w:val="index 6"/>
    <w:basedOn w:val="Normal"/>
    <w:next w:val="Normal"/>
    <w:autoRedefine/>
    <w:uiPriority w:val="99"/>
    <w:semiHidden/>
    <w:unhideWhenUsed/>
    <w:rsid w:val="00667843"/>
    <w:pPr>
      <w:ind w:left="1440" w:hanging="240"/>
    </w:pPr>
  </w:style>
  <w:style w:type="paragraph" w:styleId="Index7">
    <w:name w:val="index 7"/>
    <w:basedOn w:val="Normal"/>
    <w:next w:val="Normal"/>
    <w:autoRedefine/>
    <w:uiPriority w:val="99"/>
    <w:semiHidden/>
    <w:unhideWhenUsed/>
    <w:rsid w:val="00667843"/>
    <w:pPr>
      <w:ind w:left="1680" w:hanging="240"/>
    </w:pPr>
  </w:style>
  <w:style w:type="paragraph" w:styleId="Index8">
    <w:name w:val="index 8"/>
    <w:basedOn w:val="Normal"/>
    <w:next w:val="Normal"/>
    <w:autoRedefine/>
    <w:uiPriority w:val="99"/>
    <w:semiHidden/>
    <w:unhideWhenUsed/>
    <w:rsid w:val="00667843"/>
    <w:pPr>
      <w:ind w:left="1920" w:hanging="240"/>
    </w:pPr>
  </w:style>
  <w:style w:type="paragraph" w:styleId="Index9">
    <w:name w:val="index 9"/>
    <w:basedOn w:val="Normal"/>
    <w:next w:val="Normal"/>
    <w:autoRedefine/>
    <w:uiPriority w:val="99"/>
    <w:semiHidden/>
    <w:unhideWhenUsed/>
    <w:rsid w:val="00667843"/>
    <w:pPr>
      <w:ind w:left="2160" w:hanging="240"/>
    </w:pPr>
  </w:style>
  <w:style w:type="paragraph" w:styleId="IndexHeading">
    <w:name w:val="index heading"/>
    <w:basedOn w:val="Normal"/>
    <w:next w:val="Index1"/>
    <w:uiPriority w:val="99"/>
    <w:semiHidden/>
    <w:unhideWhenUsed/>
    <w:rsid w:val="006678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7843"/>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67843"/>
    <w:rPr>
      <w:rFonts w:ascii="Times New Roman" w:hAnsi="Times New Roman"/>
      <w:i/>
      <w:iCs/>
      <w:color w:val="156082" w:themeColor="accent1"/>
    </w:rPr>
  </w:style>
  <w:style w:type="paragraph" w:styleId="List">
    <w:name w:val="List"/>
    <w:basedOn w:val="Normal"/>
    <w:uiPriority w:val="99"/>
    <w:semiHidden/>
    <w:unhideWhenUsed/>
    <w:rsid w:val="00667843"/>
    <w:pPr>
      <w:ind w:left="360" w:hanging="360"/>
      <w:contextualSpacing/>
    </w:pPr>
  </w:style>
  <w:style w:type="paragraph" w:styleId="List2">
    <w:name w:val="List 2"/>
    <w:basedOn w:val="Normal"/>
    <w:uiPriority w:val="99"/>
    <w:semiHidden/>
    <w:unhideWhenUsed/>
    <w:rsid w:val="00667843"/>
    <w:pPr>
      <w:ind w:left="720" w:hanging="360"/>
      <w:contextualSpacing/>
    </w:pPr>
  </w:style>
  <w:style w:type="paragraph" w:styleId="List3">
    <w:name w:val="List 3"/>
    <w:basedOn w:val="Normal"/>
    <w:uiPriority w:val="99"/>
    <w:semiHidden/>
    <w:unhideWhenUsed/>
    <w:rsid w:val="00667843"/>
    <w:pPr>
      <w:ind w:left="1080" w:hanging="360"/>
      <w:contextualSpacing/>
    </w:pPr>
  </w:style>
  <w:style w:type="paragraph" w:styleId="List4">
    <w:name w:val="List 4"/>
    <w:basedOn w:val="Normal"/>
    <w:uiPriority w:val="99"/>
    <w:semiHidden/>
    <w:unhideWhenUsed/>
    <w:rsid w:val="00667843"/>
    <w:pPr>
      <w:ind w:left="1440" w:hanging="360"/>
      <w:contextualSpacing/>
    </w:pPr>
  </w:style>
  <w:style w:type="paragraph" w:styleId="List5">
    <w:name w:val="List 5"/>
    <w:basedOn w:val="Normal"/>
    <w:uiPriority w:val="99"/>
    <w:semiHidden/>
    <w:unhideWhenUsed/>
    <w:rsid w:val="00667843"/>
    <w:pPr>
      <w:ind w:left="1800" w:hanging="360"/>
      <w:contextualSpacing/>
    </w:pPr>
  </w:style>
  <w:style w:type="paragraph" w:styleId="ListBullet">
    <w:name w:val="List Bullet"/>
    <w:basedOn w:val="Normal"/>
    <w:rsid w:val="00422A6F"/>
    <w:pPr>
      <w:numPr>
        <w:numId w:val="4"/>
      </w:numPr>
      <w:spacing w:after="240"/>
    </w:pPr>
  </w:style>
  <w:style w:type="paragraph" w:styleId="ListBullet2">
    <w:name w:val="List Bullet 2"/>
    <w:basedOn w:val="Normal"/>
    <w:rsid w:val="00422A6F"/>
    <w:pPr>
      <w:numPr>
        <w:numId w:val="5"/>
      </w:numPr>
      <w:spacing w:after="240"/>
    </w:pPr>
  </w:style>
  <w:style w:type="paragraph" w:styleId="ListBullet3">
    <w:name w:val="List Bullet 3"/>
    <w:basedOn w:val="Normal"/>
    <w:rsid w:val="00422A6F"/>
    <w:pPr>
      <w:numPr>
        <w:numId w:val="6"/>
      </w:numPr>
      <w:spacing w:after="240"/>
    </w:pPr>
  </w:style>
  <w:style w:type="paragraph" w:styleId="ListBullet4">
    <w:name w:val="List Bullet 4"/>
    <w:basedOn w:val="Normal"/>
    <w:uiPriority w:val="99"/>
    <w:semiHidden/>
    <w:unhideWhenUsed/>
    <w:rsid w:val="00667843"/>
    <w:pPr>
      <w:numPr>
        <w:numId w:val="7"/>
      </w:numPr>
      <w:contextualSpacing/>
    </w:pPr>
  </w:style>
  <w:style w:type="paragraph" w:styleId="ListBullet5">
    <w:name w:val="List Bullet 5"/>
    <w:basedOn w:val="Normal"/>
    <w:uiPriority w:val="99"/>
    <w:semiHidden/>
    <w:unhideWhenUsed/>
    <w:rsid w:val="00667843"/>
    <w:pPr>
      <w:numPr>
        <w:numId w:val="8"/>
      </w:numPr>
      <w:contextualSpacing/>
    </w:pPr>
  </w:style>
  <w:style w:type="paragraph" w:styleId="ListContinue">
    <w:name w:val="List Continue"/>
    <w:basedOn w:val="Normal"/>
    <w:uiPriority w:val="99"/>
    <w:semiHidden/>
    <w:unhideWhenUsed/>
    <w:rsid w:val="00667843"/>
    <w:pPr>
      <w:spacing w:after="120"/>
      <w:ind w:left="360"/>
      <w:contextualSpacing/>
    </w:pPr>
  </w:style>
  <w:style w:type="paragraph" w:styleId="ListContinue2">
    <w:name w:val="List Continue 2"/>
    <w:basedOn w:val="Normal"/>
    <w:uiPriority w:val="99"/>
    <w:semiHidden/>
    <w:unhideWhenUsed/>
    <w:rsid w:val="00667843"/>
    <w:pPr>
      <w:spacing w:after="120"/>
      <w:ind w:left="720"/>
      <w:contextualSpacing/>
    </w:pPr>
  </w:style>
  <w:style w:type="paragraph" w:styleId="ListContinue3">
    <w:name w:val="List Continue 3"/>
    <w:basedOn w:val="Normal"/>
    <w:uiPriority w:val="99"/>
    <w:semiHidden/>
    <w:unhideWhenUsed/>
    <w:rsid w:val="00667843"/>
    <w:pPr>
      <w:spacing w:after="120"/>
      <w:ind w:left="1080"/>
      <w:contextualSpacing/>
    </w:pPr>
  </w:style>
  <w:style w:type="paragraph" w:styleId="ListContinue4">
    <w:name w:val="List Continue 4"/>
    <w:basedOn w:val="Normal"/>
    <w:uiPriority w:val="99"/>
    <w:semiHidden/>
    <w:unhideWhenUsed/>
    <w:rsid w:val="00667843"/>
    <w:pPr>
      <w:spacing w:after="120"/>
      <w:ind w:left="1440"/>
      <w:contextualSpacing/>
    </w:pPr>
  </w:style>
  <w:style w:type="paragraph" w:styleId="ListContinue5">
    <w:name w:val="List Continue 5"/>
    <w:basedOn w:val="Normal"/>
    <w:uiPriority w:val="99"/>
    <w:semiHidden/>
    <w:unhideWhenUsed/>
    <w:rsid w:val="00667843"/>
    <w:pPr>
      <w:spacing w:after="120"/>
      <w:ind w:left="1800"/>
      <w:contextualSpacing/>
    </w:pPr>
  </w:style>
  <w:style w:type="paragraph" w:styleId="ListNumber">
    <w:name w:val="List Number"/>
    <w:basedOn w:val="Normal"/>
    <w:uiPriority w:val="99"/>
    <w:semiHidden/>
    <w:unhideWhenUsed/>
    <w:rsid w:val="00667843"/>
    <w:pPr>
      <w:numPr>
        <w:numId w:val="9"/>
      </w:numPr>
      <w:contextualSpacing/>
    </w:pPr>
  </w:style>
  <w:style w:type="paragraph" w:styleId="ListNumber2">
    <w:name w:val="List Number 2"/>
    <w:basedOn w:val="Normal"/>
    <w:uiPriority w:val="99"/>
    <w:semiHidden/>
    <w:unhideWhenUsed/>
    <w:rsid w:val="00667843"/>
    <w:pPr>
      <w:numPr>
        <w:numId w:val="10"/>
      </w:numPr>
      <w:contextualSpacing/>
    </w:pPr>
  </w:style>
  <w:style w:type="paragraph" w:styleId="ListNumber3">
    <w:name w:val="List Number 3"/>
    <w:basedOn w:val="Normal"/>
    <w:uiPriority w:val="99"/>
    <w:semiHidden/>
    <w:unhideWhenUsed/>
    <w:rsid w:val="00667843"/>
    <w:pPr>
      <w:numPr>
        <w:numId w:val="11"/>
      </w:numPr>
      <w:contextualSpacing/>
    </w:pPr>
  </w:style>
  <w:style w:type="paragraph" w:styleId="ListNumber4">
    <w:name w:val="List Number 4"/>
    <w:basedOn w:val="Normal"/>
    <w:uiPriority w:val="99"/>
    <w:semiHidden/>
    <w:unhideWhenUsed/>
    <w:rsid w:val="00667843"/>
    <w:pPr>
      <w:numPr>
        <w:numId w:val="12"/>
      </w:numPr>
      <w:contextualSpacing/>
    </w:pPr>
  </w:style>
  <w:style w:type="paragraph" w:styleId="ListNumber5">
    <w:name w:val="List Number 5"/>
    <w:basedOn w:val="Normal"/>
    <w:uiPriority w:val="99"/>
    <w:semiHidden/>
    <w:unhideWhenUsed/>
    <w:rsid w:val="00667843"/>
    <w:pPr>
      <w:numPr>
        <w:numId w:val="13"/>
      </w:numPr>
      <w:contextualSpacing/>
    </w:pPr>
  </w:style>
  <w:style w:type="paragraph" w:styleId="MacroText">
    <w:name w:val="macro"/>
    <w:link w:val="MacroTextChar"/>
    <w:uiPriority w:val="99"/>
    <w:semiHidden/>
    <w:unhideWhenUsed/>
    <w:rsid w:val="00667843"/>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uiPriority w:val="99"/>
    <w:semiHidden/>
    <w:rsid w:val="00667843"/>
    <w:rPr>
      <w:rFonts w:ascii="Consolas" w:hAnsi="Consolas"/>
      <w:sz w:val="20"/>
      <w:szCs w:val="20"/>
    </w:rPr>
  </w:style>
  <w:style w:type="paragraph" w:styleId="MessageHeader">
    <w:name w:val="Message Header"/>
    <w:basedOn w:val="Normal"/>
    <w:link w:val="MessageHeaderChar"/>
    <w:uiPriority w:val="99"/>
    <w:semiHidden/>
    <w:unhideWhenUsed/>
    <w:rsid w:val="0066784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667843"/>
    <w:rPr>
      <w:rFonts w:asciiTheme="majorHAnsi" w:eastAsiaTheme="majorEastAsia" w:hAnsiTheme="majorHAnsi" w:cstheme="majorBidi"/>
      <w:shd w:val="pct20" w:color="auto" w:fill="auto"/>
    </w:rPr>
  </w:style>
  <w:style w:type="paragraph" w:styleId="NoSpacing">
    <w:name w:val="No Spacing"/>
    <w:uiPriority w:val="1"/>
    <w:qFormat/>
    <w:rsid w:val="00667843"/>
    <w:rPr>
      <w:rFonts w:ascii="Times New Roman" w:hAnsi="Times New Roman"/>
    </w:rPr>
  </w:style>
  <w:style w:type="paragraph" w:styleId="NormalWeb">
    <w:name w:val="Normal (Web)"/>
    <w:basedOn w:val="Normal"/>
    <w:uiPriority w:val="99"/>
    <w:semiHidden/>
    <w:unhideWhenUsed/>
    <w:rsid w:val="00667843"/>
  </w:style>
  <w:style w:type="paragraph" w:styleId="NormalIndent">
    <w:name w:val="Normal Indent"/>
    <w:basedOn w:val="Normal"/>
    <w:uiPriority w:val="99"/>
    <w:semiHidden/>
    <w:unhideWhenUsed/>
    <w:rsid w:val="00667843"/>
    <w:pPr>
      <w:ind w:left="720"/>
    </w:pPr>
  </w:style>
  <w:style w:type="paragraph" w:styleId="NoteHeading">
    <w:name w:val="Note Heading"/>
    <w:basedOn w:val="Normal"/>
    <w:next w:val="Normal"/>
    <w:link w:val="NoteHeadingChar"/>
    <w:uiPriority w:val="99"/>
    <w:semiHidden/>
    <w:unhideWhenUsed/>
    <w:rsid w:val="00667843"/>
  </w:style>
  <w:style w:type="character" w:customStyle="1" w:styleId="NoteHeadingChar">
    <w:name w:val="Note Heading Char"/>
    <w:basedOn w:val="DefaultParagraphFont"/>
    <w:link w:val="NoteHeading"/>
    <w:uiPriority w:val="99"/>
    <w:semiHidden/>
    <w:rsid w:val="00667843"/>
    <w:rPr>
      <w:rFonts w:ascii="Times New Roman" w:hAnsi="Times New Roman"/>
    </w:rPr>
  </w:style>
  <w:style w:type="paragraph" w:styleId="PlainText">
    <w:name w:val="Plain Text"/>
    <w:basedOn w:val="Normal"/>
    <w:link w:val="PlainTextChar"/>
    <w:uiPriority w:val="99"/>
    <w:semiHidden/>
    <w:unhideWhenUsed/>
    <w:rsid w:val="00667843"/>
    <w:rPr>
      <w:rFonts w:ascii="Consolas" w:hAnsi="Consolas"/>
      <w:sz w:val="21"/>
      <w:szCs w:val="21"/>
    </w:rPr>
  </w:style>
  <w:style w:type="character" w:customStyle="1" w:styleId="PlainTextChar">
    <w:name w:val="Plain Text Char"/>
    <w:basedOn w:val="DefaultParagraphFont"/>
    <w:link w:val="PlainText"/>
    <w:uiPriority w:val="99"/>
    <w:semiHidden/>
    <w:rsid w:val="00667843"/>
    <w:rPr>
      <w:rFonts w:ascii="Consolas" w:hAnsi="Consolas"/>
      <w:sz w:val="21"/>
      <w:szCs w:val="21"/>
    </w:rPr>
  </w:style>
  <w:style w:type="paragraph" w:styleId="Salutation">
    <w:name w:val="Salutation"/>
    <w:basedOn w:val="Normal"/>
    <w:next w:val="Normal"/>
    <w:link w:val="SalutationChar"/>
    <w:uiPriority w:val="99"/>
    <w:semiHidden/>
    <w:unhideWhenUsed/>
    <w:rsid w:val="00667843"/>
  </w:style>
  <w:style w:type="character" w:customStyle="1" w:styleId="SalutationChar">
    <w:name w:val="Salutation Char"/>
    <w:basedOn w:val="DefaultParagraphFont"/>
    <w:link w:val="Salutation"/>
    <w:uiPriority w:val="99"/>
    <w:semiHidden/>
    <w:rsid w:val="00667843"/>
    <w:rPr>
      <w:rFonts w:ascii="Times New Roman" w:hAnsi="Times New Roman"/>
    </w:rPr>
  </w:style>
  <w:style w:type="paragraph" w:styleId="Signature">
    <w:name w:val="Signature"/>
    <w:basedOn w:val="Normal"/>
    <w:link w:val="SignatureChar"/>
    <w:uiPriority w:val="99"/>
    <w:semiHidden/>
    <w:unhideWhenUsed/>
    <w:rsid w:val="00667843"/>
    <w:pPr>
      <w:ind w:left="4320"/>
    </w:pPr>
  </w:style>
  <w:style w:type="character" w:customStyle="1" w:styleId="SignatureChar">
    <w:name w:val="Signature Char"/>
    <w:basedOn w:val="DefaultParagraphFont"/>
    <w:link w:val="Signature"/>
    <w:uiPriority w:val="99"/>
    <w:semiHidden/>
    <w:rsid w:val="00667843"/>
    <w:rPr>
      <w:rFonts w:ascii="Times New Roman" w:hAnsi="Times New Roman"/>
    </w:rPr>
  </w:style>
  <w:style w:type="paragraph" w:styleId="TableofAuthorities">
    <w:name w:val="table of authorities"/>
    <w:basedOn w:val="Normal"/>
    <w:next w:val="Normal"/>
    <w:uiPriority w:val="99"/>
    <w:semiHidden/>
    <w:unhideWhenUsed/>
    <w:rsid w:val="00667843"/>
    <w:pPr>
      <w:ind w:left="240" w:hanging="240"/>
    </w:pPr>
  </w:style>
  <w:style w:type="paragraph" w:styleId="TableofFigures">
    <w:name w:val="table of figures"/>
    <w:basedOn w:val="Normal"/>
    <w:next w:val="Normal"/>
    <w:uiPriority w:val="99"/>
    <w:semiHidden/>
    <w:unhideWhenUsed/>
    <w:rsid w:val="00667843"/>
  </w:style>
  <w:style w:type="paragraph" w:styleId="TOAHeading">
    <w:name w:val="toa heading"/>
    <w:basedOn w:val="Normal"/>
    <w:next w:val="Normal"/>
    <w:uiPriority w:val="99"/>
    <w:semiHidden/>
    <w:unhideWhenUsed/>
    <w:rsid w:val="00667843"/>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667843"/>
    <w:pPr>
      <w:outlineLvl w:val="9"/>
    </w:pPr>
  </w:style>
  <w:style w:type="character" w:customStyle="1" w:styleId="DocID">
    <w:name w:val="DocID"/>
    <w:basedOn w:val="DefaultParagraphFont"/>
    <w:uiPriority w:val="1"/>
    <w:qFormat/>
    <w:rsid w:val="000460A1"/>
    <w:rPr>
      <w:sz w:val="16"/>
    </w:rPr>
  </w:style>
  <w:style w:type="character" w:styleId="IntenseEmphasis">
    <w:name w:val="Intense Emphasis"/>
    <w:basedOn w:val="DefaultParagraphFont"/>
    <w:uiPriority w:val="21"/>
    <w:qFormat/>
    <w:rsid w:val="00BD08A3"/>
    <w:rPr>
      <w:i/>
      <w:iCs/>
      <w:color w:val="0F4761" w:themeColor="accent1" w:themeShade="BF"/>
    </w:rPr>
  </w:style>
  <w:style w:type="character" w:styleId="IntenseReference">
    <w:name w:val="Intense Reference"/>
    <w:basedOn w:val="DefaultParagraphFont"/>
    <w:uiPriority w:val="32"/>
    <w:qFormat/>
    <w:rsid w:val="00BD08A3"/>
    <w:rPr>
      <w:b/>
      <w:bCs/>
      <w:smallCaps/>
      <w:color w:val="0F4761" w:themeColor="accent1" w:themeShade="BF"/>
      <w:spacing w:val="5"/>
    </w:rPr>
  </w:style>
  <w:style w:type="character" w:styleId="CommentReference">
    <w:name w:val="annotation reference"/>
    <w:basedOn w:val="DefaultParagraphFont"/>
    <w:uiPriority w:val="99"/>
    <w:semiHidden/>
    <w:unhideWhenUsed/>
    <w:rsid w:val="0094628D"/>
    <w:rPr>
      <w:sz w:val="16"/>
      <w:szCs w:val="16"/>
    </w:rPr>
  </w:style>
  <w:style w:type="paragraph" w:styleId="Revision">
    <w:name w:val="Revision"/>
    <w:hidden/>
    <w:uiPriority w:val="99"/>
    <w:semiHidden/>
    <w:rsid w:val="00FC7FC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 Type="http://schemas.openxmlformats.org/officeDocument/2006/relationships/customXml" Target="/customXML/item2.xml" Id="imanag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item2.xml><?xml version="1.0" encoding="utf-8"?>
<properties xmlns="http://www.imanage.com/work/xmlschema">
  <documentid>ACTIVE!319070566.3</documentid>
  <senderid>BODDIEAM</senderid>
  <senderemail>ANGELA.COFFEY@TROUTMAN.COM</senderemail>
  <lastmodified>2025-09-12T13:18:00.0000000-04:00</lastmodified>
  <database>ACTIVE</database>
</propertie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FE76D-A09F-41D5-A0FB-CBF9B9BA0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634</Words>
  <Characters>4635</Characters>
  <Application>Microsoft Office Word</Application>
  <DocSecurity>0</DocSecurity>
  <Lines>201</Lines>
  <Paragraphs>219</Paragraphs>
  <ScaleCrop>false</ScaleCrop>
  <HeadingPairs>
    <vt:vector size="2" baseType="variant">
      <vt:variant>
        <vt:lpstr>Title</vt:lpstr>
      </vt:variant>
      <vt:variant>
        <vt:i4>1</vt:i4>
      </vt:variant>
    </vt:vector>
  </HeadingPairs>
  <TitlesOfParts>
    <vt:vector size="1" baseType="lpstr">
      <vt:lpstr/>
    </vt:vector>
  </TitlesOfParts>
  <Company>Troutman Pepper Hamilton Sanders, LLP</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Daigle, Matthew C.</dc:creator>
  <cp:keywords/>
  <dc:description/>
  <cp:lastModifiedBy>Hewitson, Steven J.</cp:lastModifiedBy>
  <cp:revision>9</cp:revision>
  <dcterms:created xsi:type="dcterms:W3CDTF">2025-09-10T17:15:00Z</dcterms:created>
  <dcterms:modified xsi:type="dcterms:W3CDTF">2025-09-12T17:18:00Z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319070566v3</vt:lpwstr>
  </property>
</Properties>
</file>